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46240">
      <w:pPr>
        <w:pStyle w:val="22"/>
        <w:widowControl w:val="0"/>
        <w:spacing w:beforeAutospacing="0" w:afterAutospacing="0" w:line="360" w:lineRule="auto"/>
        <w:ind w:firstLine="420"/>
        <w:rPr>
          <w:rFonts w:hint="eastAsia" w:ascii="黑体" w:hAnsi="黑体" w:eastAsia="黑体" w:cs="黑体"/>
          <w:b/>
          <w:bCs/>
          <w:snapToGrid w:val="0"/>
          <w:color w:val="000000"/>
          <w:spacing w:val="26"/>
          <w:sz w:val="36"/>
          <w:szCs w:val="36"/>
          <w:lang w:val="en-US" w:eastAsia="zh-CN" w:bidi="ar-SA"/>
        </w:rPr>
      </w:pPr>
      <w:r>
        <w:rPr>
          <w:rFonts w:hint="eastAsia" w:ascii="黑体" w:hAnsi="黑体" w:eastAsia="黑体" w:cs="黑体"/>
          <w:b/>
          <w:bCs/>
          <w:snapToGrid w:val="0"/>
          <w:color w:val="000000"/>
          <w:spacing w:val="26"/>
          <w:sz w:val="36"/>
          <w:szCs w:val="36"/>
          <w:lang w:val="en-US" w:eastAsia="zh-CN" w:bidi="ar-SA"/>
        </w:rPr>
        <w:t>永城市中心医院物业保洁管理服务采购项目</w:t>
      </w:r>
    </w:p>
    <w:p w14:paraId="3222D9D3">
      <w:pPr>
        <w:jc w:val="center"/>
        <w:rPr>
          <w:rFonts w:hint="eastAsia" w:ascii="华文中宋" w:hAnsi="华文中宋" w:eastAsia="华文中宋" w:cs="黑体"/>
          <w:b/>
          <w:sz w:val="52"/>
          <w:szCs w:val="48"/>
          <w:lang w:eastAsia="zh-CN"/>
        </w:rPr>
      </w:pPr>
    </w:p>
    <w:p w14:paraId="6CBF42EA">
      <w:pPr>
        <w:spacing w:line="240" w:lineRule="auto"/>
        <w:ind w:left="0" w:leftChars="0" w:firstLine="0" w:firstLineChars="0"/>
        <w:jc w:val="center"/>
        <w:outlineLvl w:val="9"/>
        <w:rPr>
          <w:rFonts w:ascii="黑体" w:hAnsi="黑体" w:eastAsia="黑体"/>
          <w:b/>
          <w:bCs/>
          <w:spacing w:val="5"/>
          <w:sz w:val="40"/>
          <w:szCs w:val="40"/>
          <w:lang w:eastAsia="zh-CN"/>
        </w:rPr>
      </w:pPr>
    </w:p>
    <w:p w14:paraId="0EDDB46B">
      <w:pPr>
        <w:pStyle w:val="3"/>
        <w:spacing w:line="254" w:lineRule="auto"/>
        <w:rPr>
          <w:b/>
          <w:sz w:val="44"/>
          <w:szCs w:val="44"/>
          <w:lang w:eastAsia="zh-CN"/>
        </w:rPr>
      </w:pPr>
    </w:p>
    <w:p w14:paraId="698B7BBA">
      <w:pPr>
        <w:pStyle w:val="3"/>
        <w:spacing w:line="254" w:lineRule="auto"/>
        <w:rPr>
          <w:lang w:eastAsia="zh-CN"/>
        </w:rPr>
      </w:pPr>
    </w:p>
    <w:p w14:paraId="16A6B685">
      <w:pPr>
        <w:spacing w:before="94" w:line="222" w:lineRule="auto"/>
        <w:ind w:left="2689"/>
        <w:rPr>
          <w:rFonts w:ascii="黑体" w:hAnsi="黑体" w:eastAsia="黑体" w:cs="黑体"/>
          <w:b/>
          <w:bCs/>
          <w:spacing w:val="26"/>
          <w:sz w:val="29"/>
          <w:szCs w:val="29"/>
          <w:lang w:eastAsia="zh-CN"/>
        </w:rPr>
      </w:pPr>
    </w:p>
    <w:p w14:paraId="65B2F64E">
      <w:pPr>
        <w:spacing w:before="94" w:line="222" w:lineRule="auto"/>
        <w:ind w:left="2689"/>
        <w:rPr>
          <w:rFonts w:ascii="黑体" w:hAnsi="黑体" w:eastAsia="黑体" w:cs="黑体"/>
          <w:b/>
          <w:bCs/>
          <w:spacing w:val="26"/>
          <w:sz w:val="36"/>
          <w:szCs w:val="36"/>
          <w:lang w:eastAsia="zh-CN"/>
        </w:rPr>
      </w:pPr>
    </w:p>
    <w:p w14:paraId="141F66A1">
      <w:pPr>
        <w:spacing w:before="94" w:line="222" w:lineRule="auto"/>
        <w:ind w:left="2689"/>
        <w:rPr>
          <w:rFonts w:ascii="黑体" w:hAnsi="黑体" w:eastAsia="黑体" w:cs="黑体"/>
          <w:sz w:val="36"/>
          <w:szCs w:val="36"/>
          <w:lang w:eastAsia="zh-CN"/>
        </w:rPr>
      </w:pPr>
      <w:r>
        <w:rPr>
          <w:rFonts w:ascii="黑体" w:hAnsi="黑体" w:eastAsia="黑体" w:cs="黑体"/>
          <w:b/>
          <w:bCs/>
          <w:spacing w:val="26"/>
          <w:sz w:val="36"/>
          <w:szCs w:val="36"/>
          <w:lang w:eastAsia="zh-CN"/>
        </w:rPr>
        <w:t>竞争性磋商文件</w:t>
      </w:r>
    </w:p>
    <w:p w14:paraId="27E84AD6">
      <w:pPr>
        <w:pStyle w:val="3"/>
        <w:spacing w:line="242" w:lineRule="auto"/>
        <w:rPr>
          <w:lang w:eastAsia="zh-CN"/>
        </w:rPr>
      </w:pPr>
    </w:p>
    <w:p w14:paraId="35AC4272">
      <w:pPr>
        <w:pStyle w:val="3"/>
        <w:spacing w:line="242" w:lineRule="auto"/>
        <w:rPr>
          <w:lang w:eastAsia="zh-CN"/>
        </w:rPr>
      </w:pPr>
    </w:p>
    <w:p w14:paraId="53063866">
      <w:pPr>
        <w:pStyle w:val="3"/>
        <w:spacing w:line="242" w:lineRule="auto"/>
        <w:rPr>
          <w:lang w:eastAsia="zh-CN"/>
        </w:rPr>
      </w:pPr>
    </w:p>
    <w:p w14:paraId="458BDDE1">
      <w:pPr>
        <w:pStyle w:val="3"/>
        <w:spacing w:line="242" w:lineRule="auto"/>
        <w:rPr>
          <w:lang w:eastAsia="zh-CN"/>
        </w:rPr>
      </w:pPr>
    </w:p>
    <w:p w14:paraId="7BE875EC">
      <w:pPr>
        <w:pStyle w:val="3"/>
        <w:spacing w:line="242" w:lineRule="auto"/>
        <w:rPr>
          <w:lang w:eastAsia="zh-CN"/>
        </w:rPr>
      </w:pPr>
    </w:p>
    <w:p w14:paraId="2ECCAFBA">
      <w:pPr>
        <w:pStyle w:val="3"/>
        <w:spacing w:line="242" w:lineRule="auto"/>
        <w:rPr>
          <w:lang w:eastAsia="zh-CN"/>
        </w:rPr>
      </w:pPr>
    </w:p>
    <w:p w14:paraId="19B66B3C">
      <w:pPr>
        <w:pStyle w:val="3"/>
        <w:spacing w:line="242" w:lineRule="auto"/>
        <w:rPr>
          <w:lang w:eastAsia="zh-CN"/>
        </w:rPr>
      </w:pPr>
    </w:p>
    <w:p w14:paraId="64182707">
      <w:pPr>
        <w:pStyle w:val="3"/>
        <w:spacing w:line="242" w:lineRule="auto"/>
        <w:rPr>
          <w:lang w:eastAsia="zh-CN"/>
        </w:rPr>
      </w:pPr>
    </w:p>
    <w:p w14:paraId="007FE054">
      <w:pPr>
        <w:pStyle w:val="3"/>
        <w:spacing w:line="242" w:lineRule="auto"/>
        <w:rPr>
          <w:lang w:eastAsia="zh-CN"/>
        </w:rPr>
      </w:pPr>
    </w:p>
    <w:p w14:paraId="50FF413C">
      <w:pPr>
        <w:pStyle w:val="3"/>
        <w:spacing w:line="243" w:lineRule="auto"/>
        <w:rPr>
          <w:lang w:eastAsia="zh-CN"/>
        </w:rPr>
      </w:pPr>
    </w:p>
    <w:p w14:paraId="4AB862F3">
      <w:pPr>
        <w:pStyle w:val="3"/>
        <w:spacing w:line="243" w:lineRule="auto"/>
        <w:rPr>
          <w:lang w:eastAsia="zh-CN"/>
        </w:rPr>
      </w:pPr>
    </w:p>
    <w:p w14:paraId="353C4F3B">
      <w:pPr>
        <w:pStyle w:val="3"/>
        <w:spacing w:line="243" w:lineRule="auto"/>
        <w:rPr>
          <w:lang w:eastAsia="zh-CN"/>
        </w:rPr>
      </w:pPr>
    </w:p>
    <w:p w14:paraId="4B0819A1">
      <w:pPr>
        <w:pStyle w:val="3"/>
        <w:spacing w:line="243" w:lineRule="auto"/>
        <w:rPr>
          <w:lang w:eastAsia="zh-CN"/>
        </w:rPr>
      </w:pPr>
    </w:p>
    <w:p w14:paraId="09B4B74B">
      <w:pPr>
        <w:pStyle w:val="3"/>
        <w:spacing w:line="243" w:lineRule="auto"/>
        <w:rPr>
          <w:lang w:eastAsia="zh-CN"/>
        </w:rPr>
      </w:pPr>
    </w:p>
    <w:p w14:paraId="7D2D4DED">
      <w:pPr>
        <w:pStyle w:val="3"/>
        <w:spacing w:line="243" w:lineRule="auto"/>
        <w:rPr>
          <w:lang w:eastAsia="zh-CN"/>
        </w:rPr>
      </w:pPr>
    </w:p>
    <w:p w14:paraId="2AD79BF4">
      <w:pPr>
        <w:pStyle w:val="3"/>
        <w:spacing w:line="243" w:lineRule="auto"/>
        <w:rPr>
          <w:lang w:eastAsia="zh-CN"/>
        </w:rPr>
      </w:pPr>
    </w:p>
    <w:p w14:paraId="456575D4">
      <w:pPr>
        <w:pStyle w:val="3"/>
        <w:spacing w:line="243" w:lineRule="auto"/>
        <w:rPr>
          <w:lang w:eastAsia="zh-CN"/>
        </w:rPr>
      </w:pPr>
    </w:p>
    <w:p w14:paraId="2ABE5E32">
      <w:pPr>
        <w:pStyle w:val="3"/>
        <w:spacing w:line="243" w:lineRule="auto"/>
        <w:rPr>
          <w:lang w:eastAsia="zh-CN"/>
        </w:rPr>
      </w:pPr>
    </w:p>
    <w:p w14:paraId="75043A97">
      <w:pPr>
        <w:pStyle w:val="3"/>
        <w:spacing w:line="243" w:lineRule="auto"/>
        <w:rPr>
          <w:lang w:eastAsia="zh-CN"/>
        </w:rPr>
      </w:pPr>
    </w:p>
    <w:p w14:paraId="2F3BC830">
      <w:pPr>
        <w:pStyle w:val="3"/>
        <w:spacing w:line="243" w:lineRule="auto"/>
        <w:rPr>
          <w:lang w:eastAsia="zh-CN"/>
        </w:rPr>
      </w:pPr>
    </w:p>
    <w:p w14:paraId="2C8049C9">
      <w:pPr>
        <w:pStyle w:val="3"/>
        <w:spacing w:line="243" w:lineRule="auto"/>
        <w:rPr>
          <w:lang w:eastAsia="zh-CN"/>
        </w:rPr>
      </w:pPr>
    </w:p>
    <w:p w14:paraId="245A9FA0">
      <w:pPr>
        <w:pStyle w:val="3"/>
        <w:spacing w:line="243" w:lineRule="auto"/>
        <w:rPr>
          <w:lang w:eastAsia="zh-CN"/>
        </w:rPr>
      </w:pPr>
    </w:p>
    <w:p w14:paraId="70BCB6E8">
      <w:pPr>
        <w:pStyle w:val="3"/>
        <w:spacing w:line="243" w:lineRule="auto"/>
        <w:rPr>
          <w:lang w:eastAsia="zh-CN"/>
        </w:rPr>
      </w:pPr>
    </w:p>
    <w:p w14:paraId="6CA7BFA4">
      <w:pPr>
        <w:pStyle w:val="3"/>
        <w:spacing w:line="243" w:lineRule="auto"/>
        <w:rPr>
          <w:lang w:eastAsia="zh-CN"/>
        </w:rPr>
      </w:pPr>
    </w:p>
    <w:p w14:paraId="05DC2420">
      <w:pPr>
        <w:pStyle w:val="3"/>
        <w:spacing w:line="243" w:lineRule="auto"/>
        <w:rPr>
          <w:lang w:eastAsia="zh-CN"/>
        </w:rPr>
      </w:pPr>
    </w:p>
    <w:p w14:paraId="04E68B85">
      <w:pPr>
        <w:pStyle w:val="3"/>
        <w:spacing w:line="243" w:lineRule="auto"/>
        <w:rPr>
          <w:lang w:eastAsia="zh-CN"/>
        </w:rPr>
      </w:pPr>
    </w:p>
    <w:p w14:paraId="32038F53">
      <w:pPr>
        <w:pStyle w:val="3"/>
        <w:spacing w:line="243" w:lineRule="auto"/>
        <w:rPr>
          <w:lang w:eastAsia="zh-CN"/>
        </w:rPr>
      </w:pPr>
    </w:p>
    <w:p w14:paraId="7DB3A01B">
      <w:pPr>
        <w:pStyle w:val="3"/>
        <w:spacing w:line="243" w:lineRule="auto"/>
        <w:rPr>
          <w:lang w:eastAsia="zh-CN"/>
        </w:rPr>
      </w:pPr>
    </w:p>
    <w:p w14:paraId="14DF9651">
      <w:pPr>
        <w:pStyle w:val="34"/>
        <w:overflowPunct w:val="0"/>
        <w:spacing w:line="360" w:lineRule="auto"/>
        <w:ind w:firstLine="1603" w:firstLineChars="600"/>
        <w:rPr>
          <w:rFonts w:hint="eastAsia" w:ascii="黑体" w:hAnsi="黑体" w:eastAsia="黑体" w:cs="黑体"/>
          <w:b/>
          <w:bCs/>
          <w:snapToGrid w:val="0"/>
          <w:color w:val="000000"/>
          <w:spacing w:val="-13"/>
          <w:sz w:val="29"/>
          <w:szCs w:val="29"/>
          <w:lang w:val="en-US" w:eastAsia="zh-CN" w:bidi="ar-SA"/>
        </w:rPr>
      </w:pPr>
      <w:r>
        <w:rPr>
          <w:rFonts w:ascii="黑体" w:hAnsi="黑体" w:eastAsia="黑体" w:cs="黑体"/>
          <w:b/>
          <w:bCs/>
          <w:spacing w:val="-12"/>
          <w:sz w:val="29"/>
          <w:szCs w:val="29"/>
          <w:lang w:eastAsia="zh-CN"/>
        </w:rPr>
        <w:t>采</w:t>
      </w:r>
      <w:r>
        <w:rPr>
          <w:rFonts w:hint="eastAsia" w:ascii="黑体" w:hAnsi="黑体" w:eastAsia="黑体" w:cs="黑体"/>
          <w:b/>
          <w:bCs/>
          <w:spacing w:val="-12"/>
          <w:sz w:val="29"/>
          <w:szCs w:val="29"/>
          <w:lang w:val="en-US" w:eastAsia="zh-CN"/>
        </w:rPr>
        <w:t xml:space="preserve">  </w:t>
      </w:r>
      <w:r>
        <w:rPr>
          <w:rFonts w:ascii="黑体" w:hAnsi="黑体" w:eastAsia="黑体" w:cs="黑体"/>
          <w:b/>
          <w:bCs/>
          <w:spacing w:val="-12"/>
          <w:sz w:val="29"/>
          <w:szCs w:val="29"/>
          <w:lang w:eastAsia="zh-CN"/>
        </w:rPr>
        <w:t>购</w:t>
      </w:r>
      <w:r>
        <w:rPr>
          <w:rFonts w:hint="eastAsia" w:ascii="黑体" w:hAnsi="黑体" w:eastAsia="黑体" w:cs="黑体"/>
          <w:b/>
          <w:bCs/>
          <w:spacing w:val="-12"/>
          <w:sz w:val="29"/>
          <w:szCs w:val="29"/>
          <w:lang w:val="en-US" w:eastAsia="zh-CN"/>
        </w:rPr>
        <w:t xml:space="preserve">  </w:t>
      </w:r>
      <w:r>
        <w:rPr>
          <w:rFonts w:ascii="黑体" w:hAnsi="黑体" w:eastAsia="黑体" w:cs="黑体"/>
          <w:b/>
          <w:bCs/>
          <w:spacing w:val="-12"/>
          <w:sz w:val="29"/>
          <w:szCs w:val="29"/>
          <w:lang w:eastAsia="zh-CN"/>
        </w:rPr>
        <w:t>人：</w:t>
      </w:r>
      <w:r>
        <w:rPr>
          <w:rFonts w:hint="eastAsia" w:ascii="黑体" w:hAnsi="黑体" w:eastAsia="黑体" w:cs="黑体"/>
          <w:b/>
          <w:bCs/>
          <w:snapToGrid w:val="0"/>
          <w:color w:val="000000"/>
          <w:spacing w:val="-13"/>
          <w:sz w:val="29"/>
          <w:szCs w:val="29"/>
          <w:lang w:val="en-US" w:eastAsia="zh-CN" w:bidi="ar-SA"/>
        </w:rPr>
        <w:t>永城市中心医院</w:t>
      </w:r>
    </w:p>
    <w:p w14:paraId="10EAE6CF">
      <w:pPr>
        <w:spacing w:before="95" w:line="221" w:lineRule="auto"/>
        <w:ind w:firstLine="1591" w:firstLineChars="600"/>
        <w:rPr>
          <w:rFonts w:ascii="黑体" w:hAnsi="黑体" w:eastAsia="黑体" w:cs="黑体"/>
          <w:sz w:val="29"/>
          <w:szCs w:val="29"/>
          <w:lang w:eastAsia="zh-CN"/>
        </w:rPr>
      </w:pPr>
      <w:r>
        <w:rPr>
          <w:rFonts w:ascii="黑体" w:hAnsi="黑体" w:eastAsia="黑体" w:cs="黑体"/>
          <w:b/>
          <w:bCs/>
          <w:spacing w:val="-13"/>
          <w:sz w:val="29"/>
          <w:szCs w:val="29"/>
          <w:lang w:eastAsia="zh-CN"/>
        </w:rPr>
        <w:t>代</w:t>
      </w:r>
      <w:r>
        <w:rPr>
          <w:rFonts w:hint="eastAsia" w:ascii="黑体" w:hAnsi="黑体" w:eastAsia="黑体" w:cs="黑体"/>
          <w:b/>
          <w:bCs/>
          <w:spacing w:val="-13"/>
          <w:sz w:val="29"/>
          <w:szCs w:val="29"/>
          <w:lang w:val="en-US" w:eastAsia="zh-CN"/>
        </w:rPr>
        <w:t xml:space="preserve"> </w:t>
      </w:r>
      <w:r>
        <w:rPr>
          <w:rFonts w:ascii="黑体" w:hAnsi="黑体" w:eastAsia="黑体" w:cs="黑体"/>
          <w:b/>
          <w:bCs/>
          <w:spacing w:val="-13"/>
          <w:sz w:val="29"/>
          <w:szCs w:val="29"/>
          <w:lang w:eastAsia="zh-CN"/>
        </w:rPr>
        <w:t>理</w:t>
      </w:r>
      <w:r>
        <w:rPr>
          <w:rFonts w:hint="eastAsia" w:ascii="黑体" w:hAnsi="黑体" w:eastAsia="黑体" w:cs="黑体"/>
          <w:b/>
          <w:bCs/>
          <w:spacing w:val="-13"/>
          <w:sz w:val="29"/>
          <w:szCs w:val="29"/>
          <w:lang w:val="en-US" w:eastAsia="zh-CN"/>
        </w:rPr>
        <w:t xml:space="preserve"> </w:t>
      </w:r>
      <w:r>
        <w:rPr>
          <w:rFonts w:ascii="黑体" w:hAnsi="黑体" w:eastAsia="黑体" w:cs="黑体"/>
          <w:b/>
          <w:bCs/>
          <w:spacing w:val="-13"/>
          <w:sz w:val="29"/>
          <w:szCs w:val="29"/>
          <w:lang w:eastAsia="zh-CN"/>
        </w:rPr>
        <w:t>机</w:t>
      </w:r>
      <w:r>
        <w:rPr>
          <w:rFonts w:hint="eastAsia" w:ascii="黑体" w:hAnsi="黑体" w:eastAsia="黑体" w:cs="黑体"/>
          <w:b/>
          <w:bCs/>
          <w:spacing w:val="-13"/>
          <w:sz w:val="29"/>
          <w:szCs w:val="29"/>
          <w:lang w:val="en-US" w:eastAsia="zh-CN"/>
        </w:rPr>
        <w:t xml:space="preserve"> </w:t>
      </w:r>
      <w:r>
        <w:rPr>
          <w:rFonts w:ascii="黑体" w:hAnsi="黑体" w:eastAsia="黑体" w:cs="黑体"/>
          <w:b/>
          <w:bCs/>
          <w:spacing w:val="-13"/>
          <w:sz w:val="29"/>
          <w:szCs w:val="29"/>
          <w:lang w:eastAsia="zh-CN"/>
        </w:rPr>
        <w:t>构：永城市公共资源交易中心</w:t>
      </w:r>
    </w:p>
    <w:p w14:paraId="56F1BCC2">
      <w:pPr>
        <w:pStyle w:val="3"/>
        <w:spacing w:line="336" w:lineRule="auto"/>
        <w:rPr>
          <w:lang w:eastAsia="zh-CN"/>
        </w:rPr>
      </w:pPr>
    </w:p>
    <w:p w14:paraId="1477EF7A">
      <w:pPr>
        <w:spacing w:before="101" w:line="225" w:lineRule="auto"/>
        <w:ind w:firstLine="1516" w:firstLineChars="500"/>
        <w:rPr>
          <w:rFonts w:hint="default" w:ascii="宋体" w:hAnsi="宋体" w:eastAsia="宋体" w:cs="宋体"/>
          <w:sz w:val="31"/>
          <w:szCs w:val="31"/>
          <w:lang w:val="en-US" w:eastAsia="zh-CN"/>
        </w:rPr>
      </w:pPr>
      <w:r>
        <w:rPr>
          <w:rFonts w:ascii="宋体" w:hAnsi="宋体" w:eastAsia="宋体" w:cs="宋体"/>
          <w:b/>
          <w:bCs/>
          <w:spacing w:val="-4"/>
          <w:sz w:val="31"/>
          <w:szCs w:val="31"/>
          <w:lang w:eastAsia="zh-CN"/>
        </w:rPr>
        <w:t>日</w:t>
      </w:r>
      <w:r>
        <w:rPr>
          <w:rFonts w:hint="eastAsia" w:ascii="宋体" w:hAnsi="宋体" w:eastAsia="宋体" w:cs="宋体"/>
          <w:b/>
          <w:bCs/>
          <w:spacing w:val="-4"/>
          <w:sz w:val="31"/>
          <w:szCs w:val="31"/>
          <w:lang w:eastAsia="zh-CN"/>
        </w:rPr>
        <w:t xml:space="preserve">  </w:t>
      </w:r>
      <w:r>
        <w:rPr>
          <w:rFonts w:ascii="宋体" w:hAnsi="宋体" w:eastAsia="宋体" w:cs="宋体"/>
          <w:b/>
          <w:bCs/>
          <w:spacing w:val="-4"/>
          <w:sz w:val="31"/>
          <w:szCs w:val="31"/>
          <w:lang w:eastAsia="zh-CN"/>
        </w:rPr>
        <w:t>期：二〇二五年</w:t>
      </w:r>
      <w:r>
        <w:rPr>
          <w:rFonts w:hint="eastAsia" w:ascii="宋体" w:hAnsi="宋体" w:eastAsia="宋体" w:cs="宋体"/>
          <w:b/>
          <w:bCs/>
          <w:spacing w:val="-4"/>
          <w:sz w:val="31"/>
          <w:szCs w:val="31"/>
          <w:lang w:val="en-US" w:eastAsia="zh-CN"/>
        </w:rPr>
        <w:t>七</w:t>
      </w:r>
      <w:r>
        <w:rPr>
          <w:rFonts w:ascii="宋体" w:hAnsi="宋体" w:eastAsia="宋体" w:cs="宋体"/>
          <w:b/>
          <w:bCs/>
          <w:spacing w:val="-4"/>
          <w:sz w:val="31"/>
          <w:szCs w:val="31"/>
          <w:lang w:eastAsia="zh-CN"/>
        </w:rPr>
        <w:t>月</w:t>
      </w:r>
    </w:p>
    <w:p w14:paraId="1498993F">
      <w:pPr>
        <w:spacing w:before="95" w:line="221" w:lineRule="auto"/>
        <w:ind w:left="1979"/>
        <w:rPr>
          <w:rFonts w:hint="default" w:ascii="黑体" w:hAnsi="黑体" w:eastAsia="黑体" w:cs="黑体"/>
          <w:b/>
          <w:bCs/>
          <w:spacing w:val="-13"/>
          <w:sz w:val="29"/>
          <w:szCs w:val="29"/>
          <w:lang w:val="en-US" w:eastAsia="zh-CN"/>
        </w:rPr>
      </w:pPr>
    </w:p>
    <w:p w14:paraId="51799AA3">
      <w:pPr>
        <w:spacing w:before="95" w:line="221" w:lineRule="auto"/>
        <w:ind w:left="1979"/>
        <w:rPr>
          <w:rFonts w:ascii="黑体" w:hAnsi="黑体" w:eastAsia="黑体" w:cs="黑体"/>
          <w:b/>
          <w:bCs/>
          <w:spacing w:val="-13"/>
          <w:sz w:val="29"/>
          <w:szCs w:val="29"/>
          <w:lang w:eastAsia="zh-CN"/>
        </w:rPr>
      </w:pPr>
    </w:p>
    <w:p w14:paraId="55AC713A">
      <w:pPr>
        <w:pStyle w:val="9"/>
        <w:jc w:val="both"/>
        <w:rPr>
          <w:rFonts w:hint="eastAsia" w:ascii="宋体" w:hAnsi="宋体" w:cs="宋体"/>
          <w:b/>
          <w:color w:val="auto"/>
          <w:sz w:val="32"/>
          <w:lang w:eastAsia="zh-CN"/>
        </w:rPr>
      </w:pPr>
      <w:bookmarkStart w:id="0" w:name="_Toc144974478"/>
      <w:bookmarkStart w:id="1" w:name="_Toc152042286"/>
      <w:bookmarkStart w:id="2" w:name="_Toc490667779"/>
      <w:bookmarkStart w:id="3" w:name="_Toc144974479"/>
      <w:bookmarkStart w:id="4" w:name="_Toc152042287"/>
      <w:bookmarkStart w:id="5" w:name="_Toc152045511"/>
    </w:p>
    <w:p w14:paraId="755F7812">
      <w:pPr>
        <w:pStyle w:val="9"/>
        <w:ind w:firstLine="3522" w:firstLineChars="1100"/>
        <w:jc w:val="both"/>
        <w:rPr>
          <w:color w:val="auto"/>
          <w:lang w:eastAsia="zh-CN"/>
        </w:rPr>
      </w:pPr>
      <w:r>
        <w:rPr>
          <w:rFonts w:hint="eastAsia" w:ascii="宋体" w:hAnsi="宋体" w:cs="宋体"/>
          <w:b/>
          <w:color w:val="auto"/>
          <w:sz w:val="32"/>
          <w:lang w:eastAsia="zh-CN"/>
        </w:rPr>
        <w:t>目    录</w:t>
      </w:r>
      <w:bookmarkEnd w:id="0"/>
      <w:bookmarkEnd w:id="1"/>
    </w:p>
    <w:p w14:paraId="663E5CF4">
      <w:pPr>
        <w:pStyle w:val="18"/>
        <w:tabs>
          <w:tab w:val="right" w:leader="dot" w:pos="8299"/>
        </w:tabs>
        <w:kinsoku/>
        <w:autoSpaceDE/>
        <w:autoSpaceDN/>
        <w:spacing w:line="400" w:lineRule="exact"/>
        <w:jc w:val="distribute"/>
        <w:textAlignment w:val="auto"/>
        <w:rPr>
          <w:color w:val="auto"/>
        </w:rPr>
      </w:pPr>
      <w:r>
        <w:rPr>
          <w:color w:val="auto"/>
        </w:rPr>
        <w:fldChar w:fldCharType="begin"/>
      </w:r>
      <w:r>
        <w:rPr>
          <w:color w:val="auto"/>
        </w:rPr>
        <w:instrText xml:space="preserve">TOC \o "1-3" \h \u </w:instrText>
      </w:r>
      <w:r>
        <w:rPr>
          <w:color w:val="auto"/>
        </w:rPr>
        <w:fldChar w:fldCharType="separate"/>
      </w:r>
      <w:r>
        <w:fldChar w:fldCharType="begin"/>
      </w:r>
      <w:r>
        <w:instrText xml:space="preserve"> HYPERLINK \l "_Toc1987" </w:instrText>
      </w:r>
      <w:r>
        <w:fldChar w:fldCharType="separate"/>
      </w:r>
      <w:r>
        <w:rPr>
          <w:rFonts w:hint="eastAsia"/>
          <w:color w:val="auto"/>
        </w:rPr>
        <w:t>第一章 竞争性磋商公告</w:t>
      </w:r>
      <w:r>
        <w:rPr>
          <w:color w:val="auto"/>
        </w:rPr>
        <w:tab/>
      </w:r>
      <w:r>
        <w:rPr>
          <w:color w:val="auto"/>
        </w:rPr>
        <w:fldChar w:fldCharType="begin"/>
      </w:r>
      <w:r>
        <w:rPr>
          <w:color w:val="auto"/>
        </w:rPr>
        <w:instrText xml:space="preserve"> PAGEREF _Toc1987 </w:instrText>
      </w:r>
      <w:r>
        <w:rPr>
          <w:color w:val="auto"/>
        </w:rPr>
        <w:fldChar w:fldCharType="separate"/>
      </w:r>
      <w:r>
        <w:rPr>
          <w:color w:val="auto"/>
        </w:rPr>
        <w:t>3</w:t>
      </w:r>
      <w:r>
        <w:rPr>
          <w:color w:val="auto"/>
        </w:rPr>
        <w:fldChar w:fldCharType="end"/>
      </w:r>
      <w:r>
        <w:rPr>
          <w:color w:val="auto"/>
        </w:rPr>
        <w:fldChar w:fldCharType="end"/>
      </w:r>
    </w:p>
    <w:p w14:paraId="7945758A">
      <w:pPr>
        <w:pStyle w:val="18"/>
        <w:tabs>
          <w:tab w:val="right" w:leader="dot" w:pos="8299"/>
        </w:tabs>
        <w:kinsoku/>
        <w:autoSpaceDE/>
        <w:autoSpaceDN/>
        <w:spacing w:line="400" w:lineRule="exact"/>
        <w:jc w:val="distribute"/>
        <w:textAlignment w:val="auto"/>
        <w:rPr>
          <w:color w:val="auto"/>
        </w:rPr>
      </w:pPr>
      <w:r>
        <w:fldChar w:fldCharType="begin"/>
      </w:r>
      <w:r>
        <w:instrText xml:space="preserve"> HYPERLINK \l "_Toc21913" </w:instrText>
      </w:r>
      <w:r>
        <w:fldChar w:fldCharType="separate"/>
      </w:r>
      <w:r>
        <w:rPr>
          <w:rFonts w:hint="eastAsia"/>
          <w:color w:val="auto"/>
        </w:rPr>
        <w:t>第二章 供应商须知</w:t>
      </w:r>
      <w:r>
        <w:rPr>
          <w:color w:val="auto"/>
        </w:rPr>
        <w:tab/>
      </w:r>
      <w:r>
        <w:rPr>
          <w:color w:val="auto"/>
        </w:rPr>
        <w:fldChar w:fldCharType="begin"/>
      </w:r>
      <w:r>
        <w:rPr>
          <w:color w:val="auto"/>
        </w:rPr>
        <w:instrText xml:space="preserve"> PAGEREF _Toc21913 </w:instrText>
      </w:r>
      <w:r>
        <w:rPr>
          <w:color w:val="auto"/>
        </w:rPr>
        <w:fldChar w:fldCharType="separate"/>
      </w:r>
      <w:r>
        <w:rPr>
          <w:color w:val="auto"/>
        </w:rPr>
        <w:t>6</w:t>
      </w:r>
      <w:r>
        <w:rPr>
          <w:color w:val="auto"/>
        </w:rPr>
        <w:fldChar w:fldCharType="end"/>
      </w:r>
      <w:r>
        <w:rPr>
          <w:color w:val="auto"/>
        </w:rPr>
        <w:fldChar w:fldCharType="end"/>
      </w:r>
    </w:p>
    <w:p w14:paraId="22F82EA5">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"_Toc31181" </w:instrText>
      </w:r>
      <w:r>
        <w:fldChar w:fldCharType="separate"/>
      </w:r>
      <w:r>
        <w:rPr>
          <w:rFonts w:hint="eastAsia"/>
          <w:color w:val="auto"/>
          <w:sz w:val="21"/>
        </w:rPr>
        <w:t>1.总则</w:t>
      </w:r>
      <w:r>
        <w:rPr>
          <w:color w:val="auto"/>
          <w:sz w:val="21"/>
        </w:rPr>
        <w:tab/>
      </w:r>
      <w:r>
        <w:rPr>
          <w:color w:val="auto"/>
          <w:sz w:val="21"/>
        </w:rPr>
        <w:fldChar w:fldCharType="begin"/>
      </w:r>
      <w:r>
        <w:rPr>
          <w:color w:val="auto"/>
          <w:sz w:val="21"/>
        </w:rPr>
        <w:instrText xml:space="preserve"> PAGEREF _Toc31181 </w:instrText>
      </w:r>
      <w:r>
        <w:rPr>
          <w:color w:val="auto"/>
          <w:sz w:val="21"/>
        </w:rPr>
        <w:fldChar w:fldCharType="separate"/>
      </w:r>
      <w:r>
        <w:rPr>
          <w:color w:val="auto"/>
          <w:sz w:val="21"/>
        </w:rPr>
        <w:t>9</w:t>
      </w:r>
      <w:r>
        <w:rPr>
          <w:color w:val="auto"/>
          <w:sz w:val="21"/>
        </w:rPr>
        <w:fldChar w:fldCharType="end"/>
      </w:r>
      <w:r>
        <w:rPr>
          <w:color w:val="auto"/>
          <w:sz w:val="21"/>
        </w:rPr>
        <w:fldChar w:fldCharType="end"/>
      </w:r>
    </w:p>
    <w:p w14:paraId="1A80A52A">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"_Toc31097" </w:instrText>
      </w:r>
      <w:r>
        <w:fldChar w:fldCharType="separate"/>
      </w:r>
      <w:r>
        <w:rPr>
          <w:rFonts w:hint="eastAsia"/>
          <w:color w:val="auto"/>
          <w:sz w:val="21"/>
        </w:rPr>
        <w:t>2.竞争性磋商文件</w:t>
      </w:r>
      <w:r>
        <w:rPr>
          <w:color w:val="auto"/>
          <w:sz w:val="21"/>
        </w:rPr>
        <w:tab/>
      </w:r>
      <w:r>
        <w:rPr>
          <w:color w:val="auto"/>
          <w:sz w:val="21"/>
        </w:rPr>
        <w:fldChar w:fldCharType="begin"/>
      </w:r>
      <w:r>
        <w:rPr>
          <w:color w:val="auto"/>
          <w:sz w:val="21"/>
        </w:rPr>
        <w:instrText xml:space="preserve"> PAGEREF _Toc31097 </w:instrText>
      </w:r>
      <w:r>
        <w:rPr>
          <w:color w:val="auto"/>
          <w:sz w:val="21"/>
        </w:rPr>
        <w:fldChar w:fldCharType="separate"/>
      </w:r>
      <w:r>
        <w:rPr>
          <w:color w:val="auto"/>
          <w:sz w:val="21"/>
        </w:rPr>
        <w:t>12</w:t>
      </w:r>
      <w:r>
        <w:rPr>
          <w:color w:val="auto"/>
          <w:sz w:val="21"/>
        </w:rPr>
        <w:fldChar w:fldCharType="end"/>
      </w:r>
      <w:r>
        <w:rPr>
          <w:color w:val="auto"/>
          <w:sz w:val="21"/>
        </w:rPr>
        <w:fldChar w:fldCharType="end"/>
      </w:r>
    </w:p>
    <w:p w14:paraId="5D6F7001">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"_Toc253" </w:instrText>
      </w:r>
      <w:r>
        <w:fldChar w:fldCharType="separate"/>
      </w:r>
      <w:r>
        <w:rPr>
          <w:rFonts w:hint="eastAsia"/>
          <w:color w:val="auto"/>
          <w:sz w:val="21"/>
        </w:rPr>
        <w:t>3.响应文件</w:t>
      </w:r>
      <w:r>
        <w:rPr>
          <w:color w:val="auto"/>
          <w:sz w:val="21"/>
        </w:rPr>
        <w:tab/>
      </w:r>
      <w:r>
        <w:rPr>
          <w:color w:val="auto"/>
          <w:sz w:val="21"/>
        </w:rPr>
        <w:fldChar w:fldCharType="begin"/>
      </w:r>
      <w:r>
        <w:rPr>
          <w:color w:val="auto"/>
          <w:sz w:val="21"/>
        </w:rPr>
        <w:instrText xml:space="preserve"> PAGEREF _Toc253 </w:instrText>
      </w:r>
      <w:r>
        <w:rPr>
          <w:color w:val="auto"/>
          <w:sz w:val="21"/>
        </w:rPr>
        <w:fldChar w:fldCharType="separate"/>
      </w:r>
      <w:r>
        <w:rPr>
          <w:color w:val="auto"/>
          <w:sz w:val="21"/>
        </w:rPr>
        <w:t>13</w:t>
      </w:r>
      <w:r>
        <w:rPr>
          <w:color w:val="auto"/>
          <w:sz w:val="21"/>
        </w:rPr>
        <w:fldChar w:fldCharType="end"/>
      </w:r>
      <w:r>
        <w:rPr>
          <w:color w:val="auto"/>
          <w:sz w:val="21"/>
        </w:rPr>
        <w:fldChar w:fldCharType="end"/>
      </w:r>
    </w:p>
    <w:p w14:paraId="03B6AB8E">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"_Toc32070" </w:instrText>
      </w:r>
      <w:r>
        <w:fldChar w:fldCharType="separate"/>
      </w:r>
      <w:r>
        <w:rPr>
          <w:rFonts w:hint="eastAsia"/>
          <w:color w:val="auto"/>
          <w:sz w:val="21"/>
        </w:rPr>
        <w:t>4.磋商</w:t>
      </w:r>
      <w:r>
        <w:rPr>
          <w:color w:val="auto"/>
          <w:sz w:val="21"/>
        </w:rPr>
        <w:tab/>
      </w:r>
      <w:r>
        <w:rPr>
          <w:color w:val="auto"/>
          <w:sz w:val="21"/>
        </w:rPr>
        <w:fldChar w:fldCharType="begin"/>
      </w:r>
      <w:r>
        <w:rPr>
          <w:color w:val="auto"/>
          <w:sz w:val="21"/>
        </w:rPr>
        <w:instrText xml:space="preserve"> PAGEREF _Toc32070 </w:instrText>
      </w:r>
      <w:r>
        <w:rPr>
          <w:color w:val="auto"/>
          <w:sz w:val="21"/>
        </w:rPr>
        <w:fldChar w:fldCharType="separate"/>
      </w:r>
      <w:r>
        <w:rPr>
          <w:color w:val="auto"/>
          <w:sz w:val="21"/>
        </w:rPr>
        <w:t>15</w:t>
      </w:r>
      <w:r>
        <w:rPr>
          <w:color w:val="auto"/>
          <w:sz w:val="21"/>
        </w:rPr>
        <w:fldChar w:fldCharType="end"/>
      </w:r>
      <w:r>
        <w:rPr>
          <w:color w:val="auto"/>
          <w:sz w:val="21"/>
        </w:rPr>
        <w:fldChar w:fldCharType="end"/>
      </w:r>
    </w:p>
    <w:p w14:paraId="033C4C15">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"_Toc15462" </w:instrText>
      </w:r>
      <w:r>
        <w:fldChar w:fldCharType="separate"/>
      </w:r>
      <w:r>
        <w:rPr>
          <w:rFonts w:hint="eastAsia"/>
          <w:color w:val="auto"/>
          <w:sz w:val="21"/>
        </w:rPr>
        <w:t>5.磋商开始</w:t>
      </w:r>
      <w:r>
        <w:rPr>
          <w:color w:val="auto"/>
          <w:sz w:val="21"/>
        </w:rPr>
        <w:tab/>
      </w:r>
      <w:r>
        <w:rPr>
          <w:color w:val="auto"/>
          <w:sz w:val="21"/>
        </w:rPr>
        <w:fldChar w:fldCharType="begin"/>
      </w:r>
      <w:r>
        <w:rPr>
          <w:color w:val="auto"/>
          <w:sz w:val="21"/>
        </w:rPr>
        <w:instrText xml:space="preserve"> PAGEREF _Toc15462 </w:instrText>
      </w:r>
      <w:r>
        <w:rPr>
          <w:color w:val="auto"/>
          <w:sz w:val="21"/>
        </w:rPr>
        <w:fldChar w:fldCharType="separate"/>
      </w:r>
      <w:r>
        <w:rPr>
          <w:color w:val="auto"/>
          <w:sz w:val="21"/>
        </w:rPr>
        <w:t>15</w:t>
      </w:r>
      <w:r>
        <w:rPr>
          <w:color w:val="auto"/>
          <w:sz w:val="21"/>
        </w:rPr>
        <w:fldChar w:fldCharType="end"/>
      </w:r>
      <w:r>
        <w:rPr>
          <w:color w:val="auto"/>
          <w:sz w:val="21"/>
        </w:rPr>
        <w:fldChar w:fldCharType="end"/>
      </w:r>
    </w:p>
    <w:p w14:paraId="627CC01B">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"_Toc4097" </w:instrText>
      </w:r>
      <w:r>
        <w:fldChar w:fldCharType="separate"/>
      </w:r>
      <w:r>
        <w:rPr>
          <w:rFonts w:hint="eastAsia"/>
          <w:color w:val="auto"/>
          <w:sz w:val="21"/>
        </w:rPr>
        <w:t>6.磋商小组</w:t>
      </w:r>
      <w:r>
        <w:rPr>
          <w:color w:val="auto"/>
          <w:sz w:val="21"/>
        </w:rPr>
        <w:tab/>
      </w:r>
      <w:r>
        <w:rPr>
          <w:color w:val="auto"/>
          <w:sz w:val="21"/>
        </w:rPr>
        <w:fldChar w:fldCharType="begin"/>
      </w:r>
      <w:r>
        <w:rPr>
          <w:color w:val="auto"/>
          <w:sz w:val="21"/>
        </w:rPr>
        <w:instrText xml:space="preserve"> PAGEREF _Toc4097 </w:instrText>
      </w:r>
      <w:r>
        <w:rPr>
          <w:color w:val="auto"/>
          <w:sz w:val="21"/>
        </w:rPr>
        <w:fldChar w:fldCharType="separate"/>
      </w:r>
      <w:r>
        <w:rPr>
          <w:color w:val="auto"/>
          <w:sz w:val="21"/>
        </w:rPr>
        <w:t>16</w:t>
      </w:r>
      <w:r>
        <w:rPr>
          <w:color w:val="auto"/>
          <w:sz w:val="21"/>
        </w:rPr>
        <w:fldChar w:fldCharType="end"/>
      </w:r>
      <w:r>
        <w:rPr>
          <w:color w:val="auto"/>
          <w:sz w:val="21"/>
        </w:rPr>
        <w:fldChar w:fldCharType="end"/>
      </w:r>
    </w:p>
    <w:p w14:paraId="08A5143C">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"_Toc3434" </w:instrText>
      </w:r>
      <w:r>
        <w:fldChar w:fldCharType="separate"/>
      </w:r>
      <w:r>
        <w:rPr>
          <w:rFonts w:hint="eastAsia"/>
          <w:color w:val="auto"/>
          <w:sz w:val="21"/>
        </w:rPr>
        <w:t>7.合同授予</w:t>
      </w:r>
      <w:r>
        <w:rPr>
          <w:color w:val="auto"/>
          <w:sz w:val="21"/>
        </w:rPr>
        <w:tab/>
      </w:r>
      <w:r>
        <w:rPr>
          <w:color w:val="auto"/>
          <w:sz w:val="21"/>
        </w:rPr>
        <w:fldChar w:fldCharType="begin"/>
      </w:r>
      <w:r>
        <w:rPr>
          <w:color w:val="auto"/>
          <w:sz w:val="21"/>
        </w:rPr>
        <w:instrText xml:space="preserve"> PAGEREF _Toc3434 </w:instrText>
      </w:r>
      <w:r>
        <w:rPr>
          <w:color w:val="auto"/>
          <w:sz w:val="21"/>
        </w:rPr>
        <w:fldChar w:fldCharType="separate"/>
      </w:r>
      <w:r>
        <w:rPr>
          <w:color w:val="auto"/>
          <w:sz w:val="21"/>
        </w:rPr>
        <w:t>16</w:t>
      </w:r>
      <w:r>
        <w:rPr>
          <w:color w:val="auto"/>
          <w:sz w:val="21"/>
        </w:rPr>
        <w:fldChar w:fldCharType="end"/>
      </w:r>
      <w:r>
        <w:rPr>
          <w:color w:val="auto"/>
          <w:sz w:val="21"/>
        </w:rPr>
        <w:fldChar w:fldCharType="end"/>
      </w:r>
    </w:p>
    <w:p w14:paraId="6A4FF34F">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"_Toc9085" </w:instrText>
      </w:r>
      <w:r>
        <w:fldChar w:fldCharType="separate"/>
      </w:r>
      <w:r>
        <w:rPr>
          <w:rFonts w:hint="eastAsia"/>
          <w:color w:val="auto"/>
          <w:sz w:val="21"/>
        </w:rPr>
        <w:t>8.重新招标</w:t>
      </w:r>
      <w:r>
        <w:rPr>
          <w:color w:val="auto"/>
          <w:sz w:val="21"/>
        </w:rPr>
        <w:tab/>
      </w:r>
      <w:r>
        <w:rPr>
          <w:color w:val="auto"/>
          <w:sz w:val="21"/>
        </w:rPr>
        <w:fldChar w:fldCharType="begin"/>
      </w:r>
      <w:r>
        <w:rPr>
          <w:color w:val="auto"/>
          <w:sz w:val="21"/>
        </w:rPr>
        <w:instrText xml:space="preserve"> PAGEREF _Toc9085 </w:instrText>
      </w:r>
      <w:r>
        <w:rPr>
          <w:color w:val="auto"/>
          <w:sz w:val="21"/>
        </w:rPr>
        <w:fldChar w:fldCharType="separate"/>
      </w:r>
      <w:r>
        <w:rPr>
          <w:color w:val="auto"/>
          <w:sz w:val="21"/>
        </w:rPr>
        <w:t>17</w:t>
      </w:r>
      <w:r>
        <w:rPr>
          <w:color w:val="auto"/>
          <w:sz w:val="21"/>
        </w:rPr>
        <w:fldChar w:fldCharType="end"/>
      </w:r>
      <w:r>
        <w:rPr>
          <w:color w:val="auto"/>
          <w:sz w:val="21"/>
        </w:rPr>
        <w:fldChar w:fldCharType="end"/>
      </w:r>
    </w:p>
    <w:p w14:paraId="361BDB7D">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"_Toc23966" </w:instrText>
      </w:r>
      <w:r>
        <w:fldChar w:fldCharType="separate"/>
      </w:r>
      <w:r>
        <w:rPr>
          <w:rFonts w:hint="eastAsia"/>
          <w:color w:val="auto"/>
          <w:sz w:val="21"/>
        </w:rPr>
        <w:t>9.纪律和监督</w:t>
      </w:r>
      <w:r>
        <w:rPr>
          <w:color w:val="auto"/>
          <w:sz w:val="21"/>
        </w:rPr>
        <w:tab/>
      </w:r>
      <w:r>
        <w:rPr>
          <w:color w:val="auto"/>
          <w:sz w:val="21"/>
        </w:rPr>
        <w:fldChar w:fldCharType="begin"/>
      </w:r>
      <w:r>
        <w:rPr>
          <w:color w:val="auto"/>
          <w:sz w:val="21"/>
        </w:rPr>
        <w:instrText xml:space="preserve"> PAGEREF _Toc23966 </w:instrText>
      </w:r>
      <w:r>
        <w:rPr>
          <w:color w:val="auto"/>
          <w:sz w:val="21"/>
        </w:rPr>
        <w:fldChar w:fldCharType="separate"/>
      </w:r>
      <w:r>
        <w:rPr>
          <w:color w:val="auto"/>
          <w:sz w:val="21"/>
        </w:rPr>
        <w:t>17</w:t>
      </w:r>
      <w:r>
        <w:rPr>
          <w:color w:val="auto"/>
          <w:sz w:val="21"/>
        </w:rPr>
        <w:fldChar w:fldCharType="end"/>
      </w:r>
      <w:r>
        <w:rPr>
          <w:color w:val="auto"/>
          <w:sz w:val="21"/>
        </w:rPr>
        <w:fldChar w:fldCharType="end"/>
      </w:r>
    </w:p>
    <w:p w14:paraId="4836CD57">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"_Toc17476" </w:instrText>
      </w:r>
      <w:r>
        <w:fldChar w:fldCharType="separate"/>
      </w:r>
      <w:r>
        <w:rPr>
          <w:rFonts w:hint="eastAsia"/>
          <w:color w:val="auto"/>
          <w:sz w:val="21"/>
        </w:rPr>
        <w:t>10.需要补充的其他内容</w:t>
      </w:r>
      <w:r>
        <w:rPr>
          <w:color w:val="auto"/>
          <w:sz w:val="21"/>
        </w:rPr>
        <w:tab/>
      </w:r>
      <w:r>
        <w:rPr>
          <w:color w:val="auto"/>
          <w:sz w:val="21"/>
        </w:rPr>
        <w:fldChar w:fldCharType="begin"/>
      </w:r>
      <w:r>
        <w:rPr>
          <w:color w:val="auto"/>
          <w:sz w:val="21"/>
        </w:rPr>
        <w:instrText xml:space="preserve"> PAGEREF _Toc17476 </w:instrText>
      </w:r>
      <w:r>
        <w:rPr>
          <w:color w:val="auto"/>
          <w:sz w:val="21"/>
        </w:rPr>
        <w:fldChar w:fldCharType="separate"/>
      </w:r>
      <w:r>
        <w:rPr>
          <w:color w:val="auto"/>
          <w:sz w:val="21"/>
        </w:rPr>
        <w:t>18</w:t>
      </w:r>
      <w:r>
        <w:rPr>
          <w:color w:val="auto"/>
          <w:sz w:val="21"/>
        </w:rPr>
        <w:fldChar w:fldCharType="end"/>
      </w:r>
      <w:r>
        <w:rPr>
          <w:color w:val="auto"/>
          <w:sz w:val="21"/>
        </w:rPr>
        <w:fldChar w:fldCharType="end"/>
      </w:r>
    </w:p>
    <w:p w14:paraId="0BBAE210">
      <w:pPr>
        <w:pStyle w:val="18"/>
        <w:tabs>
          <w:tab w:val="right" w:leader="dot" w:pos="8299"/>
        </w:tabs>
        <w:kinsoku/>
        <w:autoSpaceDE/>
        <w:autoSpaceDN/>
        <w:spacing w:line="400" w:lineRule="exact"/>
        <w:jc w:val="distribute"/>
        <w:textAlignment w:val="auto"/>
        <w:rPr>
          <w:color w:val="auto"/>
        </w:rPr>
      </w:pPr>
      <w:r>
        <w:fldChar w:fldCharType="begin"/>
      </w:r>
      <w:r>
        <w:instrText xml:space="preserve"> HYPERLINK \l "_Toc15596" </w:instrText>
      </w:r>
      <w:r>
        <w:fldChar w:fldCharType="separate"/>
      </w:r>
      <w:r>
        <w:rPr>
          <w:rFonts w:hint="eastAsia" w:ascii="宋体" w:hAnsi="宋体" w:cs="宋体"/>
          <w:color w:val="auto"/>
          <w:kern w:val="44"/>
        </w:rPr>
        <w:t>第三章 评审办法（综合评分法）</w:t>
      </w:r>
      <w:r>
        <w:rPr>
          <w:color w:val="auto"/>
        </w:rPr>
        <w:tab/>
      </w:r>
      <w:r>
        <w:rPr>
          <w:color w:val="auto"/>
        </w:rPr>
        <w:fldChar w:fldCharType="begin"/>
      </w:r>
      <w:r>
        <w:rPr>
          <w:color w:val="auto"/>
        </w:rPr>
        <w:instrText xml:space="preserve"> PAGEREF _Toc15596 </w:instrText>
      </w:r>
      <w:r>
        <w:rPr>
          <w:color w:val="auto"/>
        </w:rPr>
        <w:fldChar w:fldCharType="separate"/>
      </w:r>
      <w:r>
        <w:rPr>
          <w:color w:val="auto"/>
        </w:rPr>
        <w:t>1</w:t>
      </w:r>
      <w:r>
        <w:rPr>
          <w:color w:val="auto"/>
        </w:rPr>
        <w:fldChar w:fldCharType="end"/>
      </w:r>
      <w:r>
        <w:rPr>
          <w:color w:val="auto"/>
        </w:rPr>
        <w:fldChar w:fldCharType="end"/>
      </w:r>
    </w:p>
    <w:p w14:paraId="370B9095">
      <w:pPr>
        <w:pStyle w:val="18"/>
        <w:tabs>
          <w:tab w:val="right" w:leader="dot" w:pos="8299"/>
        </w:tabs>
        <w:kinsoku/>
        <w:autoSpaceDE/>
        <w:autoSpaceDN/>
        <w:spacing w:line="400" w:lineRule="exact"/>
        <w:jc w:val="distribute"/>
        <w:textAlignment w:val="auto"/>
        <w:rPr>
          <w:color w:val="auto"/>
        </w:rPr>
      </w:pPr>
      <w:r>
        <w:fldChar w:fldCharType="begin"/>
      </w:r>
      <w:r>
        <w:instrText xml:space="preserve"> HYPERLINK \l "_Toc31177" </w:instrText>
      </w:r>
      <w:r>
        <w:fldChar w:fldCharType="separate"/>
      </w:r>
      <w:r>
        <w:rPr>
          <w:rFonts w:hint="eastAsia"/>
          <w:color w:val="auto"/>
        </w:rPr>
        <w:t>第四章 河南省政府采购合同</w:t>
      </w:r>
      <w:r>
        <w:rPr>
          <w:color w:val="auto"/>
        </w:rPr>
        <w:tab/>
      </w:r>
      <w:r>
        <w:rPr>
          <w:color w:val="auto"/>
        </w:rPr>
        <w:fldChar w:fldCharType="begin"/>
      </w:r>
      <w:r>
        <w:rPr>
          <w:color w:val="auto"/>
        </w:rPr>
        <w:instrText xml:space="preserve"> PAGEREF _Toc31177 </w:instrText>
      </w:r>
      <w:r>
        <w:rPr>
          <w:color w:val="auto"/>
        </w:rPr>
        <w:fldChar w:fldCharType="separate"/>
      </w:r>
      <w:r>
        <w:rPr>
          <w:color w:val="auto"/>
        </w:rPr>
        <w:t>7</w:t>
      </w:r>
      <w:r>
        <w:rPr>
          <w:color w:val="auto"/>
        </w:rPr>
        <w:fldChar w:fldCharType="end"/>
      </w:r>
      <w:r>
        <w:rPr>
          <w:color w:val="auto"/>
        </w:rPr>
        <w:fldChar w:fldCharType="end"/>
      </w:r>
    </w:p>
    <w:p w14:paraId="2B9E7E02">
      <w:pPr>
        <w:pStyle w:val="18"/>
        <w:tabs>
          <w:tab w:val="right" w:leader="dot" w:pos="8299"/>
        </w:tabs>
        <w:kinsoku/>
        <w:autoSpaceDE/>
        <w:autoSpaceDN/>
        <w:spacing w:line="400" w:lineRule="exact"/>
        <w:jc w:val="distribute"/>
        <w:textAlignment w:val="auto"/>
        <w:rPr>
          <w:color w:val="auto"/>
        </w:rPr>
      </w:pPr>
      <w:r>
        <w:fldChar w:fldCharType="begin"/>
      </w:r>
      <w:r>
        <w:instrText xml:space="preserve"> HYPERLINK \l "_Toc26714" </w:instrText>
      </w:r>
      <w:r>
        <w:fldChar w:fldCharType="separate"/>
      </w:r>
      <w:r>
        <w:rPr>
          <w:rFonts w:hint="eastAsia"/>
          <w:color w:val="auto"/>
        </w:rPr>
        <w:t>第五章 采购需求及技术要求</w:t>
      </w:r>
      <w:r>
        <w:rPr>
          <w:color w:val="auto"/>
        </w:rPr>
        <w:tab/>
      </w:r>
      <w:r>
        <w:rPr>
          <w:color w:val="auto"/>
        </w:rPr>
        <w:fldChar w:fldCharType="begin"/>
      </w:r>
      <w:r>
        <w:rPr>
          <w:color w:val="auto"/>
        </w:rPr>
        <w:instrText xml:space="preserve"> PAGEREF _Toc26714 </w:instrText>
      </w:r>
      <w:r>
        <w:rPr>
          <w:color w:val="auto"/>
        </w:rPr>
        <w:fldChar w:fldCharType="separate"/>
      </w:r>
      <w:r>
        <w:rPr>
          <w:color w:val="auto"/>
        </w:rPr>
        <w:t>13</w:t>
      </w:r>
      <w:r>
        <w:rPr>
          <w:color w:val="auto"/>
        </w:rPr>
        <w:fldChar w:fldCharType="end"/>
      </w:r>
      <w:r>
        <w:rPr>
          <w:color w:val="auto"/>
        </w:rPr>
        <w:fldChar w:fldCharType="end"/>
      </w:r>
    </w:p>
    <w:p w14:paraId="628819E2">
      <w:pPr>
        <w:pStyle w:val="18"/>
        <w:tabs>
          <w:tab w:val="right" w:leader="dot" w:pos="8299"/>
        </w:tabs>
        <w:kinsoku/>
        <w:autoSpaceDE/>
        <w:autoSpaceDN/>
        <w:spacing w:line="400" w:lineRule="exact"/>
        <w:jc w:val="distribute"/>
        <w:textAlignment w:val="auto"/>
        <w:rPr>
          <w:color w:val="auto"/>
        </w:rPr>
      </w:pPr>
      <w:r>
        <w:fldChar w:fldCharType="begin"/>
      </w:r>
      <w:r>
        <w:instrText xml:space="preserve"> HYPERLINK \l "_Toc2912" </w:instrText>
      </w:r>
      <w:r>
        <w:fldChar w:fldCharType="separate"/>
      </w:r>
      <w:r>
        <w:rPr>
          <w:rFonts w:hint="eastAsia" w:ascii="宋体" w:hAnsi="宋体" w:cs="宋体"/>
          <w:bCs/>
          <w:color w:val="auto"/>
        </w:rPr>
        <w:t>第六章 竞争性磋商响应文件格式</w:t>
      </w:r>
      <w:r>
        <w:rPr>
          <w:color w:val="auto"/>
        </w:rPr>
        <w:tab/>
      </w:r>
      <w:r>
        <w:rPr>
          <w:color w:val="auto"/>
        </w:rPr>
        <w:fldChar w:fldCharType="begin"/>
      </w:r>
      <w:r>
        <w:rPr>
          <w:color w:val="auto"/>
        </w:rPr>
        <w:instrText xml:space="preserve"> PAGEREF _Toc2912 </w:instrText>
      </w:r>
      <w:r>
        <w:rPr>
          <w:color w:val="auto"/>
        </w:rPr>
        <w:fldChar w:fldCharType="separate"/>
      </w:r>
      <w:r>
        <w:rPr>
          <w:color w:val="auto"/>
        </w:rPr>
        <w:t>16</w:t>
      </w:r>
      <w:r>
        <w:rPr>
          <w:color w:val="auto"/>
        </w:rPr>
        <w:fldChar w:fldCharType="end"/>
      </w:r>
      <w:r>
        <w:rPr>
          <w:color w:val="auto"/>
        </w:rPr>
        <w:fldChar w:fldCharType="end"/>
      </w:r>
    </w:p>
    <w:p w14:paraId="29154EC6">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"_Toc12601" </w:instrText>
      </w:r>
      <w:r>
        <w:fldChar w:fldCharType="separate"/>
      </w:r>
      <w:r>
        <w:rPr>
          <w:color w:val="auto"/>
          <w:sz w:val="21"/>
        </w:rPr>
        <w:t>一、</w:t>
      </w:r>
      <w:r>
        <w:rPr>
          <w:rFonts w:hint="eastAsia"/>
          <w:color w:val="auto"/>
          <w:sz w:val="21"/>
        </w:rPr>
        <w:t>响应函及响应函附录</w:t>
      </w:r>
      <w:r>
        <w:rPr>
          <w:color w:val="auto"/>
          <w:sz w:val="21"/>
        </w:rPr>
        <w:tab/>
      </w:r>
      <w:r>
        <w:rPr>
          <w:color w:val="auto"/>
          <w:sz w:val="21"/>
        </w:rPr>
        <w:fldChar w:fldCharType="begin"/>
      </w:r>
      <w:r>
        <w:rPr>
          <w:color w:val="auto"/>
          <w:sz w:val="21"/>
        </w:rPr>
        <w:instrText xml:space="preserve"> PAGEREF _Toc12601 </w:instrText>
      </w:r>
      <w:r>
        <w:rPr>
          <w:color w:val="auto"/>
          <w:sz w:val="21"/>
        </w:rPr>
        <w:fldChar w:fldCharType="separate"/>
      </w:r>
      <w:r>
        <w:rPr>
          <w:color w:val="auto"/>
          <w:sz w:val="21"/>
        </w:rPr>
        <w:t>18</w:t>
      </w:r>
      <w:r>
        <w:rPr>
          <w:color w:val="auto"/>
          <w:sz w:val="21"/>
        </w:rPr>
        <w:fldChar w:fldCharType="end"/>
      </w:r>
      <w:r>
        <w:rPr>
          <w:color w:val="auto"/>
          <w:sz w:val="21"/>
        </w:rPr>
        <w:fldChar w:fldCharType="end"/>
      </w:r>
    </w:p>
    <w:p w14:paraId="6701FCDE">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"_Toc29009" </w:instrText>
      </w:r>
      <w:r>
        <w:fldChar w:fldCharType="separate"/>
      </w:r>
      <w:r>
        <w:rPr>
          <w:rFonts w:hint="eastAsia"/>
          <w:color w:val="auto"/>
          <w:sz w:val="21"/>
        </w:rPr>
        <w:t>二、法定代表</w:t>
      </w:r>
      <w:r>
        <w:rPr>
          <w:rFonts w:hint="eastAsia"/>
          <w:color w:val="auto"/>
          <w:sz w:val="21"/>
          <w:lang w:eastAsia="zh-CN"/>
        </w:rPr>
        <w:t>人</w:t>
      </w:r>
      <w:r>
        <w:rPr>
          <w:rFonts w:hint="eastAsia"/>
          <w:color w:val="auto"/>
          <w:sz w:val="21"/>
        </w:rPr>
        <w:t>身份证明</w:t>
      </w:r>
      <w:r>
        <w:rPr>
          <w:color w:val="auto"/>
          <w:sz w:val="21"/>
        </w:rPr>
        <w:tab/>
      </w:r>
      <w:r>
        <w:rPr>
          <w:color w:val="auto"/>
          <w:sz w:val="21"/>
        </w:rPr>
        <w:fldChar w:fldCharType="begin"/>
      </w:r>
      <w:r>
        <w:rPr>
          <w:color w:val="auto"/>
          <w:sz w:val="21"/>
        </w:rPr>
        <w:instrText xml:space="preserve"> PAGEREF _Toc29009 </w:instrText>
      </w:r>
      <w:r>
        <w:rPr>
          <w:color w:val="auto"/>
          <w:sz w:val="21"/>
        </w:rPr>
        <w:fldChar w:fldCharType="separate"/>
      </w:r>
      <w:r>
        <w:rPr>
          <w:color w:val="auto"/>
          <w:sz w:val="21"/>
        </w:rPr>
        <w:t>20</w:t>
      </w:r>
      <w:r>
        <w:rPr>
          <w:color w:val="auto"/>
          <w:sz w:val="21"/>
        </w:rPr>
        <w:fldChar w:fldCharType="end"/>
      </w:r>
      <w:r>
        <w:rPr>
          <w:color w:val="auto"/>
          <w:sz w:val="21"/>
        </w:rPr>
        <w:fldChar w:fldCharType="end"/>
      </w:r>
    </w:p>
    <w:p w14:paraId="23E22DCF">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"_Toc28161" </w:instrText>
      </w:r>
      <w:r>
        <w:fldChar w:fldCharType="separate"/>
      </w:r>
      <w:r>
        <w:rPr>
          <w:rFonts w:hint="eastAsia"/>
          <w:color w:val="auto"/>
          <w:sz w:val="21"/>
          <w:lang w:eastAsia="zh-CN"/>
        </w:rPr>
        <w:t>三</w:t>
      </w:r>
      <w:r>
        <w:rPr>
          <w:color w:val="auto"/>
          <w:sz w:val="21"/>
        </w:rPr>
        <w:t>、授权委托书</w:t>
      </w:r>
      <w:r>
        <w:rPr>
          <w:color w:val="auto"/>
          <w:sz w:val="21"/>
        </w:rPr>
        <w:tab/>
      </w:r>
      <w:r>
        <w:rPr>
          <w:color w:val="auto"/>
          <w:sz w:val="21"/>
        </w:rPr>
        <w:fldChar w:fldCharType="begin"/>
      </w:r>
      <w:r>
        <w:rPr>
          <w:color w:val="auto"/>
          <w:sz w:val="21"/>
        </w:rPr>
        <w:instrText xml:space="preserve"> PAGEREF _Toc28161 </w:instrText>
      </w:r>
      <w:r>
        <w:rPr>
          <w:color w:val="auto"/>
          <w:sz w:val="21"/>
        </w:rPr>
        <w:fldChar w:fldCharType="separate"/>
      </w:r>
      <w:r>
        <w:rPr>
          <w:color w:val="auto"/>
          <w:sz w:val="21"/>
        </w:rPr>
        <w:t>21</w:t>
      </w:r>
      <w:r>
        <w:rPr>
          <w:color w:val="auto"/>
          <w:sz w:val="21"/>
        </w:rPr>
        <w:fldChar w:fldCharType="end"/>
      </w:r>
      <w:r>
        <w:rPr>
          <w:color w:val="auto"/>
          <w:sz w:val="21"/>
        </w:rPr>
        <w:fldChar w:fldCharType="end"/>
      </w:r>
    </w:p>
    <w:p w14:paraId="19CEAE4D">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"_Toc8189" </w:instrText>
      </w:r>
      <w:r>
        <w:fldChar w:fldCharType="separate"/>
      </w:r>
      <w:r>
        <w:rPr>
          <w:rFonts w:hint="eastAsia" w:cs="宋体"/>
          <w:color w:val="auto"/>
          <w:sz w:val="21"/>
          <w:lang w:eastAsia="zh-CN"/>
        </w:rPr>
        <w:t>四</w:t>
      </w:r>
      <w:r>
        <w:rPr>
          <w:rFonts w:hint="eastAsia" w:cs="宋体"/>
          <w:color w:val="auto"/>
          <w:sz w:val="21"/>
        </w:rPr>
        <w:t>、分项报价表</w:t>
      </w:r>
      <w:r>
        <w:rPr>
          <w:color w:val="auto"/>
          <w:sz w:val="21"/>
        </w:rPr>
        <w:tab/>
      </w:r>
      <w:r>
        <w:rPr>
          <w:color w:val="auto"/>
          <w:sz w:val="21"/>
        </w:rPr>
        <w:fldChar w:fldCharType="begin"/>
      </w:r>
      <w:r>
        <w:rPr>
          <w:color w:val="auto"/>
          <w:sz w:val="21"/>
        </w:rPr>
        <w:instrText xml:space="preserve"> PAGEREF _Toc8189 </w:instrText>
      </w:r>
      <w:r>
        <w:rPr>
          <w:color w:val="auto"/>
          <w:sz w:val="21"/>
        </w:rPr>
        <w:fldChar w:fldCharType="separate"/>
      </w:r>
      <w:r>
        <w:rPr>
          <w:color w:val="auto"/>
          <w:sz w:val="21"/>
        </w:rPr>
        <w:t>22</w:t>
      </w:r>
      <w:r>
        <w:rPr>
          <w:color w:val="auto"/>
          <w:sz w:val="21"/>
        </w:rPr>
        <w:fldChar w:fldCharType="end"/>
      </w:r>
      <w:r>
        <w:rPr>
          <w:color w:val="auto"/>
          <w:sz w:val="21"/>
        </w:rPr>
        <w:fldChar w:fldCharType="end"/>
      </w:r>
    </w:p>
    <w:p w14:paraId="0748A7F1">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"_Toc30930" </w:instrText>
      </w:r>
      <w:r>
        <w:fldChar w:fldCharType="separate"/>
      </w:r>
      <w:r>
        <w:rPr>
          <w:rFonts w:hint="eastAsia"/>
          <w:color w:val="auto"/>
          <w:sz w:val="21"/>
          <w:lang w:eastAsia="zh-CN"/>
        </w:rPr>
        <w:t>五</w:t>
      </w:r>
      <w:r>
        <w:rPr>
          <w:rFonts w:hint="eastAsia"/>
          <w:color w:val="auto"/>
          <w:sz w:val="21"/>
        </w:rPr>
        <w:t>、商务偏差表</w:t>
      </w:r>
      <w:r>
        <w:rPr>
          <w:color w:val="auto"/>
          <w:sz w:val="21"/>
        </w:rPr>
        <w:tab/>
      </w:r>
      <w:r>
        <w:rPr>
          <w:color w:val="auto"/>
          <w:sz w:val="21"/>
        </w:rPr>
        <w:fldChar w:fldCharType="begin"/>
      </w:r>
      <w:r>
        <w:rPr>
          <w:color w:val="auto"/>
          <w:sz w:val="21"/>
        </w:rPr>
        <w:instrText xml:space="preserve"> PAGEREF _Toc30930 </w:instrText>
      </w:r>
      <w:r>
        <w:rPr>
          <w:color w:val="auto"/>
          <w:sz w:val="21"/>
        </w:rPr>
        <w:fldChar w:fldCharType="separate"/>
      </w:r>
      <w:r>
        <w:rPr>
          <w:color w:val="auto"/>
          <w:sz w:val="21"/>
        </w:rPr>
        <w:t>23</w:t>
      </w:r>
      <w:r>
        <w:rPr>
          <w:color w:val="auto"/>
          <w:sz w:val="21"/>
        </w:rPr>
        <w:fldChar w:fldCharType="end"/>
      </w:r>
      <w:r>
        <w:rPr>
          <w:color w:val="auto"/>
          <w:sz w:val="21"/>
        </w:rPr>
        <w:fldChar w:fldCharType="end"/>
      </w:r>
    </w:p>
    <w:p w14:paraId="52B91F9E">
      <w:pPr>
        <w:pStyle w:val="21"/>
        <w:tabs>
          <w:tab w:val="right" w:leader="dot" w:pos="8299"/>
        </w:tabs>
        <w:kinsoku/>
        <w:autoSpaceDE/>
        <w:autoSpaceDN/>
        <w:spacing w:line="400" w:lineRule="exact"/>
        <w:ind w:left="0"/>
        <w:jc w:val="distribute"/>
        <w:textAlignment w:val="auto"/>
        <w:rPr>
          <w:color w:val="auto"/>
          <w:sz w:val="21"/>
        </w:rPr>
      </w:pPr>
      <w:r>
        <w:rPr>
          <w:rFonts w:hint="eastAsia"/>
          <w:color w:val="auto"/>
          <w:sz w:val="21"/>
          <w:lang w:eastAsia="zh-CN"/>
        </w:rPr>
        <w:t>六</w:t>
      </w:r>
      <w:r>
        <w:fldChar w:fldCharType="begin"/>
      </w:r>
      <w:r>
        <w:instrText xml:space="preserve"> HYPERLINK \l "_Toc29205" </w:instrText>
      </w:r>
      <w:r>
        <w:fldChar w:fldCharType="separate"/>
      </w:r>
      <w:r>
        <w:rPr>
          <w:rFonts w:hint="eastAsia"/>
          <w:color w:val="auto"/>
          <w:sz w:val="21"/>
        </w:rPr>
        <w:t>、技术</w:t>
      </w:r>
      <w:r>
        <w:rPr>
          <w:rFonts w:hint="eastAsia"/>
          <w:color w:val="auto"/>
          <w:sz w:val="21"/>
          <w:lang w:eastAsia="zh-CN"/>
        </w:rPr>
        <w:t>服务</w:t>
      </w:r>
      <w:r>
        <w:rPr>
          <w:rFonts w:hint="eastAsia"/>
          <w:color w:val="auto"/>
          <w:sz w:val="21"/>
        </w:rPr>
        <w:t>方案</w:t>
      </w:r>
      <w:r>
        <w:rPr>
          <w:color w:val="auto"/>
          <w:sz w:val="21"/>
        </w:rPr>
        <w:tab/>
      </w:r>
      <w:r>
        <w:rPr>
          <w:color w:val="auto"/>
          <w:sz w:val="21"/>
        </w:rPr>
        <w:fldChar w:fldCharType="begin"/>
      </w:r>
      <w:r>
        <w:rPr>
          <w:color w:val="auto"/>
          <w:sz w:val="21"/>
        </w:rPr>
        <w:instrText xml:space="preserve"> PAGEREF _Toc29205 </w:instrText>
      </w:r>
      <w:r>
        <w:rPr>
          <w:color w:val="auto"/>
          <w:sz w:val="21"/>
        </w:rPr>
        <w:fldChar w:fldCharType="separate"/>
      </w:r>
      <w:r>
        <w:rPr>
          <w:color w:val="auto"/>
          <w:sz w:val="21"/>
        </w:rPr>
        <w:t>24</w:t>
      </w:r>
      <w:r>
        <w:rPr>
          <w:color w:val="auto"/>
          <w:sz w:val="21"/>
        </w:rPr>
        <w:fldChar w:fldCharType="end"/>
      </w:r>
      <w:r>
        <w:rPr>
          <w:color w:val="auto"/>
          <w:sz w:val="21"/>
        </w:rPr>
        <w:fldChar w:fldCharType="end"/>
      </w:r>
    </w:p>
    <w:p w14:paraId="79B16A6A">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"_Toc25132" </w:instrText>
      </w:r>
      <w:r>
        <w:fldChar w:fldCharType="separate"/>
      </w:r>
      <w:r>
        <w:rPr>
          <w:rFonts w:hint="eastAsia"/>
          <w:color w:val="auto"/>
          <w:sz w:val="21"/>
          <w:lang w:eastAsia="zh-CN"/>
        </w:rPr>
        <w:t>七</w:t>
      </w:r>
      <w:r>
        <w:rPr>
          <w:rFonts w:hint="eastAsia"/>
          <w:color w:val="auto"/>
          <w:sz w:val="21"/>
        </w:rPr>
        <w:t>、服务承诺</w:t>
      </w:r>
      <w:r>
        <w:rPr>
          <w:color w:val="auto"/>
          <w:sz w:val="21"/>
        </w:rPr>
        <w:tab/>
      </w:r>
      <w:r>
        <w:rPr>
          <w:color w:val="auto"/>
          <w:sz w:val="21"/>
        </w:rPr>
        <w:fldChar w:fldCharType="begin"/>
      </w:r>
      <w:r>
        <w:rPr>
          <w:color w:val="auto"/>
          <w:sz w:val="21"/>
        </w:rPr>
        <w:instrText xml:space="preserve"> PAGEREF _Toc25132 </w:instrText>
      </w:r>
      <w:r>
        <w:rPr>
          <w:color w:val="auto"/>
          <w:sz w:val="21"/>
        </w:rPr>
        <w:fldChar w:fldCharType="separate"/>
      </w:r>
      <w:r>
        <w:rPr>
          <w:color w:val="auto"/>
          <w:sz w:val="21"/>
        </w:rPr>
        <w:t>25</w:t>
      </w:r>
      <w:r>
        <w:rPr>
          <w:color w:val="auto"/>
          <w:sz w:val="21"/>
        </w:rPr>
        <w:fldChar w:fldCharType="end"/>
      </w:r>
      <w:r>
        <w:rPr>
          <w:color w:val="auto"/>
          <w:sz w:val="21"/>
        </w:rPr>
        <w:fldChar w:fldCharType="end"/>
      </w:r>
    </w:p>
    <w:p w14:paraId="49E008B8">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"_Toc26435" </w:instrText>
      </w:r>
      <w:r>
        <w:fldChar w:fldCharType="separate"/>
      </w:r>
      <w:r>
        <w:rPr>
          <w:rFonts w:hint="eastAsia"/>
          <w:color w:val="auto"/>
          <w:sz w:val="21"/>
          <w:lang w:eastAsia="zh-CN"/>
        </w:rPr>
        <w:t>八</w:t>
      </w:r>
      <w:r>
        <w:rPr>
          <w:rFonts w:hint="eastAsia"/>
          <w:color w:val="auto"/>
          <w:sz w:val="21"/>
        </w:rPr>
        <w:t>、资格证明材料</w:t>
      </w:r>
      <w:r>
        <w:rPr>
          <w:color w:val="auto"/>
          <w:sz w:val="21"/>
        </w:rPr>
        <w:tab/>
      </w:r>
      <w:r>
        <w:rPr>
          <w:color w:val="auto"/>
          <w:sz w:val="21"/>
        </w:rPr>
        <w:fldChar w:fldCharType="begin"/>
      </w:r>
      <w:r>
        <w:rPr>
          <w:color w:val="auto"/>
          <w:sz w:val="21"/>
        </w:rPr>
        <w:instrText xml:space="preserve"> PAGEREF _Toc26435 </w:instrText>
      </w:r>
      <w:r>
        <w:rPr>
          <w:color w:val="auto"/>
          <w:sz w:val="21"/>
        </w:rPr>
        <w:fldChar w:fldCharType="separate"/>
      </w:r>
      <w:r>
        <w:rPr>
          <w:color w:val="auto"/>
          <w:sz w:val="21"/>
        </w:rPr>
        <w:t>27</w:t>
      </w:r>
      <w:r>
        <w:rPr>
          <w:color w:val="auto"/>
          <w:sz w:val="21"/>
        </w:rPr>
        <w:fldChar w:fldCharType="end"/>
      </w:r>
      <w:r>
        <w:rPr>
          <w:color w:val="auto"/>
          <w:sz w:val="21"/>
        </w:rPr>
        <w:fldChar w:fldCharType="end"/>
      </w:r>
    </w:p>
    <w:p w14:paraId="169B82AB">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"_Toc25111" </w:instrText>
      </w:r>
      <w:r>
        <w:fldChar w:fldCharType="separate"/>
      </w:r>
      <w:r>
        <w:rPr>
          <w:rFonts w:hint="eastAsia"/>
          <w:color w:val="auto"/>
          <w:sz w:val="21"/>
          <w:lang w:eastAsia="zh-CN"/>
        </w:rPr>
        <w:t>九</w:t>
      </w:r>
      <w:r>
        <w:rPr>
          <w:rFonts w:hint="eastAsia"/>
          <w:color w:val="auto"/>
          <w:sz w:val="21"/>
        </w:rPr>
        <w:t>、中小企业声明函（</w:t>
      </w:r>
      <w:r>
        <w:rPr>
          <w:rFonts w:hint="eastAsia"/>
          <w:color w:val="auto"/>
          <w:sz w:val="21"/>
          <w:lang w:eastAsia="zh-CN"/>
        </w:rPr>
        <w:t>服务</w:t>
      </w:r>
      <w:r>
        <w:rPr>
          <w:rFonts w:hint="eastAsia"/>
          <w:color w:val="auto"/>
          <w:sz w:val="21"/>
        </w:rPr>
        <w:t>）</w:t>
      </w:r>
      <w:r>
        <w:rPr>
          <w:color w:val="auto"/>
          <w:sz w:val="21"/>
        </w:rPr>
        <w:tab/>
      </w:r>
      <w:r>
        <w:rPr>
          <w:color w:val="auto"/>
          <w:sz w:val="21"/>
        </w:rPr>
        <w:fldChar w:fldCharType="begin"/>
      </w:r>
      <w:r>
        <w:rPr>
          <w:color w:val="auto"/>
          <w:sz w:val="21"/>
        </w:rPr>
        <w:instrText xml:space="preserve"> PAGEREF _Toc25111 </w:instrText>
      </w:r>
      <w:r>
        <w:rPr>
          <w:color w:val="auto"/>
          <w:sz w:val="21"/>
        </w:rPr>
        <w:fldChar w:fldCharType="separate"/>
      </w:r>
      <w:r>
        <w:rPr>
          <w:color w:val="auto"/>
          <w:sz w:val="21"/>
        </w:rPr>
        <w:t>28</w:t>
      </w:r>
      <w:r>
        <w:rPr>
          <w:color w:val="auto"/>
          <w:sz w:val="21"/>
        </w:rPr>
        <w:fldChar w:fldCharType="end"/>
      </w:r>
      <w:r>
        <w:rPr>
          <w:color w:val="auto"/>
          <w:sz w:val="21"/>
        </w:rPr>
        <w:fldChar w:fldCharType="end"/>
      </w:r>
    </w:p>
    <w:p w14:paraId="188B37BD">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"_Toc29886" </w:instrText>
      </w:r>
      <w:r>
        <w:fldChar w:fldCharType="separate"/>
      </w:r>
      <w:r>
        <w:rPr>
          <w:rFonts w:hint="eastAsia"/>
          <w:color w:val="auto"/>
          <w:sz w:val="21"/>
          <w:lang w:eastAsia="zh-CN"/>
        </w:rPr>
        <w:t>十</w:t>
      </w:r>
      <w:r>
        <w:rPr>
          <w:rFonts w:hint="eastAsia"/>
          <w:color w:val="auto"/>
          <w:sz w:val="21"/>
        </w:rPr>
        <w:t>、残疾人福利性单位声明函</w:t>
      </w:r>
      <w:r>
        <w:rPr>
          <w:rFonts w:hint="eastAsia"/>
          <w:color w:val="auto"/>
          <w:sz w:val="21"/>
          <w:lang w:eastAsia="zh-CN"/>
        </w:rPr>
        <w:t>（如有）</w:t>
      </w:r>
      <w:r>
        <w:rPr>
          <w:color w:val="auto"/>
          <w:sz w:val="21"/>
        </w:rPr>
        <w:tab/>
      </w:r>
      <w:r>
        <w:rPr>
          <w:color w:val="auto"/>
          <w:sz w:val="21"/>
        </w:rPr>
        <w:fldChar w:fldCharType="begin"/>
      </w:r>
      <w:r>
        <w:rPr>
          <w:color w:val="auto"/>
          <w:sz w:val="21"/>
        </w:rPr>
        <w:instrText xml:space="preserve"> PAGEREF _Toc29886 </w:instrText>
      </w:r>
      <w:r>
        <w:rPr>
          <w:color w:val="auto"/>
          <w:sz w:val="21"/>
        </w:rPr>
        <w:fldChar w:fldCharType="separate"/>
      </w:r>
      <w:r>
        <w:rPr>
          <w:color w:val="auto"/>
          <w:sz w:val="21"/>
        </w:rPr>
        <w:t>31</w:t>
      </w:r>
      <w:r>
        <w:rPr>
          <w:color w:val="auto"/>
          <w:sz w:val="21"/>
        </w:rPr>
        <w:fldChar w:fldCharType="end"/>
      </w:r>
      <w:r>
        <w:rPr>
          <w:color w:val="auto"/>
          <w:sz w:val="21"/>
        </w:rPr>
        <w:fldChar w:fldCharType="end"/>
      </w:r>
    </w:p>
    <w:p w14:paraId="4D1D1DC4">
      <w:pPr>
        <w:pStyle w:val="21"/>
        <w:tabs>
          <w:tab w:val="right" w:leader="dot" w:pos="8299"/>
        </w:tabs>
        <w:kinsoku/>
        <w:autoSpaceDE/>
        <w:autoSpaceDN/>
        <w:spacing w:line="400" w:lineRule="exact"/>
        <w:ind w:left="0"/>
        <w:jc w:val="distribute"/>
        <w:textAlignment w:val="auto"/>
        <w:rPr>
          <w:color w:val="auto"/>
          <w:sz w:val="21"/>
        </w:rPr>
      </w:pPr>
      <w:r>
        <w:fldChar w:fldCharType="begin"/>
      </w:r>
      <w:r>
        <w:instrText xml:space="preserve"> HYPERLINK \l "_Toc3857" </w:instrText>
      </w:r>
      <w:r>
        <w:fldChar w:fldCharType="separate"/>
      </w:r>
      <w:r>
        <w:rPr>
          <w:rFonts w:hint="eastAsia"/>
          <w:color w:val="auto"/>
          <w:sz w:val="21"/>
        </w:rPr>
        <w:t>十</w:t>
      </w:r>
      <w:r>
        <w:rPr>
          <w:rFonts w:hint="eastAsia"/>
          <w:color w:val="auto"/>
          <w:sz w:val="21"/>
          <w:lang w:eastAsia="zh-CN"/>
        </w:rPr>
        <w:t>一</w:t>
      </w:r>
      <w:r>
        <w:rPr>
          <w:rFonts w:hint="eastAsia"/>
          <w:color w:val="auto"/>
          <w:sz w:val="21"/>
        </w:rPr>
        <w:t>、监狱企业证明文件（如有）</w:t>
      </w:r>
      <w:r>
        <w:rPr>
          <w:color w:val="auto"/>
          <w:sz w:val="21"/>
        </w:rPr>
        <w:tab/>
      </w:r>
      <w:r>
        <w:rPr>
          <w:color w:val="auto"/>
          <w:sz w:val="21"/>
        </w:rPr>
        <w:fldChar w:fldCharType="begin"/>
      </w:r>
      <w:r>
        <w:rPr>
          <w:color w:val="auto"/>
          <w:sz w:val="21"/>
        </w:rPr>
        <w:instrText xml:space="preserve"> PAGEREF _Toc3857 </w:instrText>
      </w:r>
      <w:r>
        <w:rPr>
          <w:color w:val="auto"/>
          <w:sz w:val="21"/>
        </w:rPr>
        <w:fldChar w:fldCharType="separate"/>
      </w:r>
      <w:r>
        <w:rPr>
          <w:color w:val="auto"/>
          <w:sz w:val="21"/>
        </w:rPr>
        <w:t>31</w:t>
      </w:r>
      <w:r>
        <w:rPr>
          <w:color w:val="auto"/>
          <w:sz w:val="21"/>
        </w:rPr>
        <w:fldChar w:fldCharType="end"/>
      </w:r>
      <w:r>
        <w:rPr>
          <w:color w:val="auto"/>
          <w:sz w:val="21"/>
        </w:rPr>
        <w:fldChar w:fldCharType="end"/>
      </w:r>
    </w:p>
    <w:p w14:paraId="26FD57F6">
      <w:pPr>
        <w:pStyle w:val="18"/>
        <w:tabs>
          <w:tab w:val="right" w:leader="dot" w:pos="8299"/>
        </w:tabs>
        <w:kinsoku/>
        <w:autoSpaceDE/>
        <w:autoSpaceDN/>
        <w:spacing w:line="400" w:lineRule="exact"/>
        <w:jc w:val="distribute"/>
        <w:textAlignment w:val="auto"/>
        <w:rPr>
          <w:color w:val="auto"/>
        </w:rPr>
      </w:pPr>
      <w:r>
        <w:fldChar w:fldCharType="begin"/>
      </w:r>
      <w:r>
        <w:instrText xml:space="preserve"> HYPERLINK \l "_Toc30261" </w:instrText>
      </w:r>
      <w:r>
        <w:fldChar w:fldCharType="separate"/>
      </w:r>
      <w:r>
        <w:rPr>
          <w:rFonts w:hint="eastAsia"/>
          <w:color w:val="auto"/>
        </w:rPr>
        <w:t>十</w:t>
      </w:r>
      <w:r>
        <w:rPr>
          <w:rFonts w:hint="eastAsia"/>
          <w:color w:val="auto"/>
          <w:lang w:eastAsia="zh-CN"/>
        </w:rPr>
        <w:t>二</w:t>
      </w:r>
      <w:r>
        <w:rPr>
          <w:rFonts w:hint="eastAsia"/>
          <w:color w:val="auto"/>
        </w:rPr>
        <w:t>、反商业贿赂承诺书</w:t>
      </w:r>
      <w:r>
        <w:rPr>
          <w:color w:val="auto"/>
        </w:rPr>
        <w:tab/>
      </w:r>
      <w:r>
        <w:rPr>
          <w:color w:val="auto"/>
        </w:rPr>
        <w:fldChar w:fldCharType="begin"/>
      </w:r>
      <w:r>
        <w:rPr>
          <w:color w:val="auto"/>
        </w:rPr>
        <w:instrText xml:space="preserve"> PAGEREF _Toc30261 </w:instrText>
      </w:r>
      <w:r>
        <w:rPr>
          <w:color w:val="auto"/>
        </w:rPr>
        <w:fldChar w:fldCharType="separate"/>
      </w:r>
      <w:r>
        <w:rPr>
          <w:color w:val="auto"/>
        </w:rPr>
        <w:t>32</w:t>
      </w:r>
      <w:r>
        <w:rPr>
          <w:color w:val="auto"/>
        </w:rPr>
        <w:fldChar w:fldCharType="end"/>
      </w:r>
      <w:r>
        <w:rPr>
          <w:color w:val="auto"/>
        </w:rPr>
        <w:fldChar w:fldCharType="end"/>
      </w:r>
    </w:p>
    <w:p w14:paraId="68F9D33E">
      <w:pPr>
        <w:pStyle w:val="21"/>
        <w:tabs>
          <w:tab w:val="right" w:leader="dot" w:pos="8299"/>
        </w:tabs>
        <w:kinsoku/>
        <w:autoSpaceDE/>
        <w:autoSpaceDN/>
        <w:spacing w:line="400" w:lineRule="exact"/>
        <w:ind w:left="0"/>
        <w:jc w:val="distribute"/>
        <w:textAlignment w:val="auto"/>
        <w:rPr>
          <w:color w:val="auto"/>
        </w:rPr>
      </w:pPr>
      <w:r>
        <w:fldChar w:fldCharType="begin"/>
      </w:r>
      <w:r>
        <w:instrText xml:space="preserve"> HYPERLINK \l "_Toc24929" </w:instrText>
      </w:r>
      <w:r>
        <w:fldChar w:fldCharType="separate"/>
      </w:r>
      <w:r>
        <w:rPr>
          <w:rFonts w:hint="eastAsia"/>
          <w:color w:val="auto"/>
          <w:sz w:val="21"/>
        </w:rPr>
        <w:t>十</w:t>
      </w:r>
      <w:r>
        <w:rPr>
          <w:rFonts w:hint="eastAsia"/>
          <w:color w:val="auto"/>
          <w:sz w:val="21"/>
          <w:lang w:eastAsia="zh-CN"/>
        </w:rPr>
        <w:t>三</w:t>
      </w:r>
      <w:r>
        <w:rPr>
          <w:rFonts w:hint="eastAsia"/>
          <w:color w:val="auto"/>
          <w:sz w:val="21"/>
        </w:rPr>
        <w:t>、其他材料</w:t>
      </w:r>
      <w:r>
        <w:rPr>
          <w:color w:val="auto"/>
          <w:sz w:val="21"/>
        </w:rPr>
        <w:tab/>
      </w:r>
      <w:r>
        <w:rPr>
          <w:color w:val="auto"/>
          <w:sz w:val="21"/>
        </w:rPr>
        <w:fldChar w:fldCharType="begin"/>
      </w:r>
      <w:r>
        <w:rPr>
          <w:color w:val="auto"/>
          <w:sz w:val="21"/>
        </w:rPr>
        <w:instrText xml:space="preserve"> PAGEREF _Toc24929 </w:instrText>
      </w:r>
      <w:r>
        <w:rPr>
          <w:color w:val="auto"/>
          <w:sz w:val="21"/>
        </w:rPr>
        <w:fldChar w:fldCharType="separate"/>
      </w:r>
      <w:r>
        <w:rPr>
          <w:color w:val="auto"/>
          <w:sz w:val="21"/>
        </w:rPr>
        <w:t>33</w:t>
      </w:r>
      <w:r>
        <w:rPr>
          <w:color w:val="auto"/>
          <w:sz w:val="21"/>
        </w:rPr>
        <w:fldChar w:fldCharType="end"/>
      </w:r>
      <w:r>
        <w:rPr>
          <w:color w:val="auto"/>
          <w:sz w:val="21"/>
        </w:rPr>
        <w:fldChar w:fldCharType="end"/>
      </w:r>
    </w:p>
    <w:p w14:paraId="021D5E0F">
      <w:pPr>
        <w:kinsoku/>
        <w:autoSpaceDE/>
        <w:autoSpaceDN/>
        <w:spacing w:line="400" w:lineRule="exact"/>
        <w:jc w:val="distribute"/>
        <w:textAlignment w:val="auto"/>
        <w:rPr>
          <w:rFonts w:ascii="宋体" w:hAnsi="宋体" w:cs="宋体"/>
          <w:b/>
          <w:bCs/>
          <w:color w:val="auto"/>
          <w:sz w:val="32"/>
          <w:szCs w:val="32"/>
        </w:rPr>
      </w:pPr>
      <w:r>
        <w:rPr>
          <w:color w:val="auto"/>
        </w:rPr>
        <w:fldChar w:fldCharType="end"/>
      </w:r>
      <w:bookmarkStart w:id="6" w:name="_Toc30363"/>
    </w:p>
    <w:p w14:paraId="6BBA8744">
      <w:pPr>
        <w:pStyle w:val="21"/>
        <w:tabs>
          <w:tab w:val="right" w:leader="underscore" w:pos="8296"/>
        </w:tabs>
        <w:spacing w:line="360" w:lineRule="auto"/>
        <w:ind w:left="0" w:leftChars="0"/>
        <w:jc w:val="center"/>
        <w:outlineLvl w:val="9"/>
        <w:rPr>
          <w:rStyle w:val="29"/>
          <w:color w:val="auto"/>
        </w:rPr>
        <w:sectPr>
          <w:headerReference r:id="rId3" w:type="default"/>
          <w:footerReference r:id="rId4" w:type="default"/>
          <w:pgSz w:w="11905" w:h="16838"/>
          <w:pgMar w:top="1440" w:right="1803" w:bottom="1440" w:left="1803" w:header="850" w:footer="850" w:gutter="0"/>
          <w:pgNumType w:fmt="decimal"/>
          <w:cols w:space="720" w:num="1"/>
          <w:docGrid w:type="lines" w:linePitch="411" w:charSpace="0"/>
        </w:sectPr>
      </w:pPr>
      <w:bookmarkStart w:id="7" w:name="_Toc6328"/>
      <w:bookmarkStart w:id="8" w:name="_Toc1987"/>
    </w:p>
    <w:p w14:paraId="06A23F1B">
      <w:pPr>
        <w:pStyle w:val="21"/>
        <w:tabs>
          <w:tab w:val="right" w:leader="underscore" w:pos="8296"/>
        </w:tabs>
        <w:spacing w:line="360" w:lineRule="auto"/>
        <w:ind w:left="0" w:firstLine="2881" w:firstLineChars="900"/>
        <w:jc w:val="both"/>
        <w:outlineLvl w:val="0"/>
        <w:rPr>
          <w:rFonts w:ascii="宋体" w:hAnsi="宋体" w:cs="宋体"/>
          <w:b/>
          <w:bCs/>
          <w:color w:val="auto"/>
          <w:sz w:val="32"/>
          <w:szCs w:val="32"/>
          <w:lang w:eastAsia="zh-CN"/>
        </w:rPr>
      </w:pPr>
      <w:r>
        <w:rPr>
          <w:rStyle w:val="29"/>
          <w:rFonts w:hint="eastAsia"/>
          <w:color w:val="auto"/>
          <w:lang w:eastAsia="zh-CN"/>
        </w:rPr>
        <w:t xml:space="preserve">第一章 </w:t>
      </w:r>
      <w:bookmarkEnd w:id="2"/>
      <w:bookmarkEnd w:id="3"/>
      <w:bookmarkEnd w:id="4"/>
      <w:bookmarkEnd w:id="5"/>
      <w:bookmarkEnd w:id="6"/>
      <w:r>
        <w:rPr>
          <w:rStyle w:val="29"/>
          <w:rFonts w:hint="eastAsia"/>
          <w:color w:val="auto"/>
          <w:lang w:eastAsia="zh-CN"/>
        </w:rPr>
        <w:t>竞争性磋商公告</w:t>
      </w:r>
      <w:bookmarkEnd w:id="7"/>
      <w:bookmarkEnd w:id="8"/>
    </w:p>
    <w:p w14:paraId="1C162741">
      <w:pPr>
        <w:pStyle w:val="22"/>
        <w:widowControl w:val="0"/>
        <w:spacing w:beforeAutospacing="0" w:afterAutospacing="0" w:line="360" w:lineRule="auto"/>
        <w:ind w:firstLine="422"/>
        <w:rPr>
          <w:rFonts w:hint="eastAsia" w:ascii="Arial" w:hAnsi="Arial" w:eastAsia="Arial" w:cs="Arial"/>
          <w:bCs/>
          <w:snapToGrid w:val="0"/>
          <w:color w:val="auto"/>
          <w:sz w:val="21"/>
          <w:szCs w:val="21"/>
          <w:lang w:val="en-US" w:eastAsia="zh-CN" w:bidi="ar-SA"/>
        </w:rPr>
      </w:pPr>
      <w:bookmarkStart w:id="9" w:name="OLE_LINK1"/>
      <w:bookmarkStart w:id="10" w:name="_Toc152042303"/>
      <w:bookmarkStart w:id="11" w:name="_Toc144974495"/>
      <w:bookmarkStart w:id="12" w:name="_Toc152045527"/>
      <w:r>
        <w:rPr>
          <w:rFonts w:hint="eastAsia"/>
          <w:b/>
          <w:color w:val="auto"/>
          <w:sz w:val="21"/>
          <w:szCs w:val="21"/>
          <w:lang w:eastAsia="zh-CN"/>
        </w:rPr>
        <w:t>项目概况</w:t>
      </w:r>
    </w:p>
    <w:p w14:paraId="79DF5361">
      <w:pPr>
        <w:spacing w:line="360" w:lineRule="auto"/>
        <w:ind w:firstLine="840" w:firstLineChars="400"/>
        <w:rPr>
          <w:rFonts w:hint="eastAsia" w:ascii="Arial" w:hAnsi="Arial" w:eastAsia="Arial" w:cs="Arial"/>
          <w:bCs/>
          <w:snapToGrid w:val="0"/>
          <w:color w:val="auto"/>
          <w:sz w:val="21"/>
          <w:szCs w:val="21"/>
          <w:lang w:val="en-US" w:eastAsia="zh-CN" w:bidi="ar-SA"/>
        </w:rPr>
      </w:pPr>
      <w:r>
        <w:rPr>
          <w:rFonts w:hint="eastAsia" w:ascii="Arial" w:hAnsi="Arial" w:eastAsia="Arial" w:cs="Arial"/>
          <w:bCs/>
          <w:snapToGrid w:val="0"/>
          <w:color w:val="auto"/>
          <w:sz w:val="21"/>
          <w:szCs w:val="21"/>
          <w:lang w:val="en-US" w:eastAsia="zh-CN" w:bidi="ar-SA"/>
        </w:rPr>
        <w:t xml:space="preserve">永城市中心医院物业保洁管理服务采购项目进行招标，现欢迎符合相关条件的潜在供应商参加招标。的潜在供应商应在“商丘市公共资源交易中心网站（ </w:t>
      </w:r>
      <w:r>
        <w:rPr>
          <w:rFonts w:hint="eastAsia" w:ascii="Arial" w:hAnsi="Arial" w:eastAsia="Arial" w:cs="Arial"/>
          <w:bCs/>
          <w:snapToGrid w:val="0"/>
          <w:color w:val="auto"/>
          <w:sz w:val="21"/>
          <w:szCs w:val="21"/>
          <w:lang w:val="en-US" w:eastAsia="zh-CN" w:bidi="ar-SA"/>
        </w:rPr>
        <w:fldChar w:fldCharType="begin"/>
      </w:r>
      <w:r>
        <w:rPr>
          <w:rFonts w:hint="eastAsia" w:ascii="Arial" w:hAnsi="Arial" w:eastAsia="Arial" w:cs="Arial"/>
          <w:bCs/>
          <w:snapToGrid w:val="0"/>
          <w:color w:val="auto"/>
          <w:sz w:val="21"/>
          <w:szCs w:val="21"/>
          <w:lang w:val="en-US" w:eastAsia="zh-CN" w:bidi="ar-SA"/>
        </w:rPr>
        <w:instrText xml:space="preserve"> HYPERLINK "http://ggzyjy.shangqiu.gov.cn/" </w:instrText>
      </w:r>
      <w:r>
        <w:rPr>
          <w:rFonts w:hint="eastAsia" w:ascii="Arial" w:hAnsi="Arial" w:eastAsia="Arial" w:cs="Arial"/>
          <w:bCs/>
          <w:snapToGrid w:val="0"/>
          <w:color w:val="auto"/>
          <w:sz w:val="21"/>
          <w:szCs w:val="21"/>
          <w:lang w:val="en-US" w:eastAsia="zh-CN" w:bidi="ar-SA"/>
        </w:rPr>
        <w:fldChar w:fldCharType="separate"/>
      </w:r>
      <w:r>
        <w:rPr>
          <w:rFonts w:hint="eastAsia" w:ascii="Arial" w:hAnsi="Arial" w:eastAsia="Arial" w:cs="Arial"/>
          <w:bCs/>
          <w:snapToGrid w:val="0"/>
          <w:color w:val="auto"/>
          <w:sz w:val="21"/>
          <w:szCs w:val="21"/>
          <w:lang w:val="en-US" w:eastAsia="zh-CN" w:bidi="ar-SA"/>
        </w:rPr>
        <w:t>http://ggzyjy.shangqiu.gov.cn/</w:t>
      </w:r>
      <w:r>
        <w:rPr>
          <w:rFonts w:hint="eastAsia" w:ascii="Arial" w:hAnsi="Arial" w:eastAsia="Arial" w:cs="Arial"/>
          <w:bCs/>
          <w:snapToGrid w:val="0"/>
          <w:color w:val="auto"/>
          <w:sz w:val="21"/>
          <w:szCs w:val="21"/>
          <w:lang w:val="en-US" w:eastAsia="zh-CN" w:bidi="ar-SA"/>
        </w:rPr>
        <w:fldChar w:fldCharType="end"/>
      </w:r>
      <w:r>
        <w:rPr>
          <w:rFonts w:hint="eastAsia" w:ascii="Arial" w:hAnsi="Arial" w:eastAsia="Arial" w:cs="Arial"/>
          <w:bCs/>
          <w:snapToGrid w:val="0"/>
          <w:color w:val="auto"/>
          <w:sz w:val="21"/>
          <w:szCs w:val="21"/>
          <w:lang w:val="en-US" w:eastAsia="zh-CN" w:bidi="ar-SA"/>
        </w:rPr>
        <w:t xml:space="preserve">），凭办理的企业身份认证锁（CA数字证书）登录会员系统；获取竞争性磋商文件，并于2025年 7 月 </w:t>
      </w:r>
      <w:r>
        <w:rPr>
          <w:rFonts w:hint="eastAsia" w:cs="Arial"/>
          <w:bCs/>
          <w:snapToGrid w:val="0"/>
          <w:color w:val="auto"/>
          <w:sz w:val="21"/>
          <w:szCs w:val="21"/>
          <w:lang w:val="en-US" w:eastAsia="zh-CN" w:bidi="ar-SA"/>
        </w:rPr>
        <w:t>22</w:t>
      </w:r>
      <w:r>
        <w:rPr>
          <w:rFonts w:hint="eastAsia" w:ascii="Arial" w:hAnsi="Arial" w:eastAsia="Arial" w:cs="Arial"/>
          <w:bCs/>
          <w:snapToGrid w:val="0"/>
          <w:color w:val="auto"/>
          <w:sz w:val="21"/>
          <w:szCs w:val="21"/>
          <w:lang w:val="en-US" w:eastAsia="zh-CN" w:bidi="ar-SA"/>
        </w:rPr>
        <w:t xml:space="preserve">  日9 时00 分（北京时间）前递交响应文件。</w:t>
      </w:r>
    </w:p>
    <w:p w14:paraId="7BBE6341">
      <w:pPr>
        <w:pStyle w:val="22"/>
        <w:widowControl w:val="0"/>
        <w:spacing w:beforeAutospacing="0" w:afterAutospacing="0" w:line="360" w:lineRule="auto"/>
        <w:outlineLvl w:val="1"/>
        <w:rPr>
          <w:rFonts w:hint="eastAsia" w:ascii="Arial" w:hAnsi="Arial" w:eastAsia="Arial" w:cs="Arial"/>
          <w:bCs/>
          <w:snapToGrid w:val="0"/>
          <w:color w:val="auto"/>
          <w:sz w:val="21"/>
          <w:szCs w:val="21"/>
          <w:lang w:val="en-US" w:eastAsia="zh-CN" w:bidi="ar-SA"/>
        </w:rPr>
      </w:pPr>
      <w:r>
        <w:rPr>
          <w:rFonts w:hint="eastAsia" w:ascii="Arial" w:hAnsi="Arial" w:eastAsia="Arial" w:cs="Arial"/>
          <w:bCs/>
          <w:snapToGrid w:val="0"/>
          <w:color w:val="auto"/>
          <w:sz w:val="21"/>
          <w:szCs w:val="21"/>
          <w:lang w:val="en-US" w:eastAsia="zh-CN" w:bidi="ar-SA"/>
        </w:rPr>
        <w:t>一、项目基本情况</w:t>
      </w:r>
    </w:p>
    <w:p w14:paraId="4C2A7652">
      <w:pPr>
        <w:pStyle w:val="22"/>
        <w:widowControl w:val="0"/>
        <w:spacing w:beforeAutospacing="0" w:afterAutospacing="0" w:line="360" w:lineRule="auto"/>
        <w:ind w:firstLine="420"/>
        <w:rPr>
          <w:rFonts w:hint="eastAsia" w:ascii="Arial" w:hAnsi="Arial" w:eastAsia="Arial" w:cs="Arial"/>
          <w:bCs/>
          <w:snapToGrid w:val="0"/>
          <w:color w:val="auto"/>
          <w:sz w:val="21"/>
          <w:szCs w:val="21"/>
          <w:lang w:val="en-US" w:eastAsia="zh-CN" w:bidi="ar-SA"/>
        </w:rPr>
      </w:pPr>
      <w:r>
        <w:rPr>
          <w:rFonts w:hint="eastAsia" w:ascii="Arial" w:hAnsi="Arial" w:eastAsia="Arial" w:cs="Arial"/>
          <w:bCs/>
          <w:snapToGrid w:val="0"/>
          <w:color w:val="auto"/>
          <w:sz w:val="21"/>
          <w:szCs w:val="21"/>
          <w:lang w:val="en-US" w:eastAsia="zh-CN" w:bidi="ar-SA"/>
        </w:rPr>
        <w:t xml:space="preserve">1、项目编号：永财磋商采购-2025-24，    永政采【2025】 </w:t>
      </w:r>
      <w:r>
        <w:rPr>
          <w:rFonts w:hint="eastAsia" w:ascii="Arial" w:hAnsi="Arial" w:cs="Arial"/>
          <w:bCs/>
          <w:snapToGrid w:val="0"/>
          <w:color w:val="auto"/>
          <w:sz w:val="21"/>
          <w:szCs w:val="21"/>
          <w:lang w:val="en-US" w:eastAsia="zh-CN" w:bidi="ar-SA"/>
        </w:rPr>
        <w:t>035</w:t>
      </w:r>
      <w:r>
        <w:rPr>
          <w:rFonts w:hint="eastAsia" w:ascii="Arial" w:hAnsi="Arial" w:eastAsia="Arial" w:cs="Arial"/>
          <w:bCs/>
          <w:snapToGrid w:val="0"/>
          <w:color w:val="auto"/>
          <w:sz w:val="21"/>
          <w:szCs w:val="21"/>
          <w:lang w:val="en-US" w:eastAsia="zh-CN" w:bidi="ar-SA"/>
        </w:rPr>
        <w:t xml:space="preserve"> 号</w:t>
      </w:r>
    </w:p>
    <w:p w14:paraId="6FD85A57">
      <w:pPr>
        <w:pStyle w:val="22"/>
        <w:widowControl w:val="0"/>
        <w:spacing w:beforeAutospacing="0" w:afterAutospacing="0" w:line="360" w:lineRule="auto"/>
        <w:ind w:firstLine="420"/>
        <w:rPr>
          <w:rFonts w:hint="eastAsia" w:ascii="Arial" w:hAnsi="Arial" w:eastAsia="Arial" w:cs="Arial"/>
          <w:bCs/>
          <w:snapToGrid w:val="0"/>
          <w:color w:val="auto"/>
          <w:sz w:val="21"/>
          <w:szCs w:val="21"/>
          <w:lang w:val="en-US" w:eastAsia="zh-CN" w:bidi="ar-SA"/>
        </w:rPr>
      </w:pPr>
      <w:r>
        <w:rPr>
          <w:rFonts w:hint="eastAsia" w:ascii="Arial" w:hAnsi="Arial" w:eastAsia="Arial" w:cs="Arial"/>
          <w:bCs/>
          <w:snapToGrid w:val="0"/>
          <w:color w:val="auto"/>
          <w:sz w:val="21"/>
          <w:szCs w:val="21"/>
          <w:lang w:val="en-US" w:eastAsia="zh-CN" w:bidi="ar-SA"/>
        </w:rPr>
        <w:t>2、项目名称：永城市中心医院物业保洁管理服务采购项目</w:t>
      </w:r>
    </w:p>
    <w:p w14:paraId="07239109">
      <w:pPr>
        <w:pStyle w:val="22"/>
        <w:widowControl w:val="0"/>
        <w:spacing w:beforeAutospacing="0" w:afterAutospacing="0" w:line="360" w:lineRule="auto"/>
        <w:ind w:firstLine="420"/>
        <w:rPr>
          <w:rFonts w:hint="eastAsia" w:ascii="Arial" w:hAnsi="Arial" w:eastAsia="Arial" w:cs="Arial"/>
          <w:bCs/>
          <w:snapToGrid w:val="0"/>
          <w:color w:val="auto"/>
          <w:sz w:val="21"/>
          <w:szCs w:val="21"/>
          <w:lang w:val="en-US" w:eastAsia="zh-CN" w:bidi="ar-SA"/>
        </w:rPr>
      </w:pPr>
      <w:r>
        <w:rPr>
          <w:rFonts w:hint="eastAsia" w:ascii="Arial" w:hAnsi="Arial" w:eastAsia="Arial" w:cs="Arial"/>
          <w:bCs/>
          <w:snapToGrid w:val="0"/>
          <w:color w:val="auto"/>
          <w:sz w:val="21"/>
          <w:szCs w:val="21"/>
          <w:lang w:val="en-US" w:eastAsia="zh-CN" w:bidi="ar-SA"/>
        </w:rPr>
        <w:t>3、采购方式：竞争性磋商</w:t>
      </w:r>
    </w:p>
    <w:p w14:paraId="1CE82BB6">
      <w:pPr>
        <w:pStyle w:val="22"/>
        <w:widowControl w:val="0"/>
        <w:spacing w:beforeAutospacing="0" w:afterAutospacing="0" w:line="360" w:lineRule="auto"/>
        <w:ind w:firstLine="420"/>
        <w:rPr>
          <w:rFonts w:hint="default"/>
          <w:bCs/>
          <w:color w:val="auto"/>
          <w:sz w:val="21"/>
          <w:szCs w:val="21"/>
          <w:lang w:val="en-US" w:eastAsia="zh-CN"/>
        </w:rPr>
      </w:pPr>
      <w:r>
        <w:rPr>
          <w:rFonts w:hint="eastAsia"/>
          <w:bCs/>
          <w:color w:val="auto"/>
          <w:sz w:val="21"/>
          <w:szCs w:val="21"/>
          <w:lang w:val="en-US" w:eastAsia="zh-CN"/>
        </w:rPr>
        <w:t>4、资金来源：自筹资金</w:t>
      </w:r>
    </w:p>
    <w:p w14:paraId="16247146">
      <w:pPr>
        <w:pStyle w:val="22"/>
        <w:widowControl w:val="0"/>
        <w:spacing w:beforeAutospacing="0" w:afterAutospacing="0" w:line="360" w:lineRule="auto"/>
        <w:ind w:firstLine="420"/>
        <w:rPr>
          <w:rFonts w:hint="eastAsia" w:ascii="宋体" w:hAnsi="宋体" w:cs="宋体"/>
          <w:bCs/>
          <w:color w:val="auto"/>
          <w:sz w:val="21"/>
          <w:szCs w:val="21"/>
          <w:lang w:eastAsia="zh-CN"/>
        </w:rPr>
      </w:pPr>
      <w:r>
        <w:rPr>
          <w:rFonts w:hint="eastAsia" w:cs="宋体"/>
          <w:bCs/>
          <w:color w:val="auto"/>
          <w:sz w:val="21"/>
          <w:szCs w:val="21"/>
          <w:lang w:val="en-US" w:eastAsia="zh-CN"/>
        </w:rPr>
        <w:t>5</w:t>
      </w:r>
      <w:r>
        <w:rPr>
          <w:rFonts w:hint="eastAsia" w:ascii="宋体" w:hAnsi="宋体" w:cs="宋体"/>
          <w:bCs/>
          <w:color w:val="auto"/>
          <w:sz w:val="21"/>
          <w:szCs w:val="21"/>
          <w:lang w:eastAsia="zh-CN"/>
        </w:rPr>
        <w:t>、预算金额：</w:t>
      </w:r>
      <w:r>
        <w:rPr>
          <w:rFonts w:hint="eastAsia" w:ascii="宋体" w:hAnsi="宋体" w:cs="宋体"/>
          <w:kern w:val="2"/>
          <w:sz w:val="22"/>
          <w:szCs w:val="22"/>
          <w:lang w:val="en-US" w:eastAsia="zh-CN" w:bidi="ar-SA"/>
        </w:rPr>
        <w:t>1</w:t>
      </w:r>
      <w:r>
        <w:rPr>
          <w:rFonts w:hint="eastAsia" w:cs="宋体"/>
          <w:kern w:val="2"/>
          <w:sz w:val="22"/>
          <w:szCs w:val="22"/>
          <w:lang w:val="en-US" w:eastAsia="zh-CN" w:bidi="ar-SA"/>
        </w:rPr>
        <w:t>360000</w:t>
      </w:r>
      <w:r>
        <w:rPr>
          <w:rFonts w:hint="eastAsia" w:ascii="宋体" w:hAnsi="宋体" w:cs="宋体"/>
          <w:bCs/>
          <w:color w:val="auto"/>
          <w:sz w:val="21"/>
          <w:szCs w:val="21"/>
          <w:lang w:eastAsia="zh-CN"/>
        </w:rPr>
        <w:t>元</w:t>
      </w:r>
    </w:p>
    <w:p w14:paraId="7FFD8C25">
      <w:pPr>
        <w:pStyle w:val="22"/>
        <w:widowControl w:val="0"/>
        <w:spacing w:beforeAutospacing="0" w:afterAutospacing="0" w:line="360" w:lineRule="auto"/>
        <w:ind w:firstLine="420"/>
        <w:rPr>
          <w:rFonts w:hint="eastAsia" w:ascii="宋体" w:hAnsi="宋体" w:cs="宋体"/>
          <w:bCs/>
          <w:color w:val="auto"/>
          <w:sz w:val="21"/>
          <w:szCs w:val="21"/>
          <w:lang w:eastAsia="zh-CN"/>
        </w:rPr>
      </w:pPr>
      <w:r>
        <w:rPr>
          <w:rFonts w:hint="eastAsia" w:cs="宋体"/>
          <w:bCs/>
          <w:color w:val="auto"/>
          <w:sz w:val="21"/>
          <w:szCs w:val="21"/>
          <w:lang w:val="en-US" w:eastAsia="zh-CN"/>
        </w:rPr>
        <w:t>6</w:t>
      </w:r>
      <w:r>
        <w:rPr>
          <w:rFonts w:hint="eastAsia" w:ascii="宋体" w:hAnsi="宋体" w:cs="宋体"/>
          <w:bCs/>
          <w:color w:val="auto"/>
          <w:sz w:val="21"/>
          <w:szCs w:val="21"/>
          <w:lang w:eastAsia="zh-CN"/>
        </w:rPr>
        <w:t>、最高限价：</w:t>
      </w:r>
      <w:r>
        <w:rPr>
          <w:rFonts w:hint="eastAsia" w:ascii="宋体" w:hAnsi="宋体" w:cs="宋体"/>
          <w:kern w:val="2"/>
          <w:sz w:val="22"/>
          <w:szCs w:val="22"/>
          <w:lang w:val="en-US" w:eastAsia="zh-CN" w:bidi="ar-SA"/>
        </w:rPr>
        <w:t>1</w:t>
      </w:r>
      <w:r>
        <w:rPr>
          <w:rFonts w:hint="eastAsia" w:cs="宋体"/>
          <w:kern w:val="2"/>
          <w:sz w:val="22"/>
          <w:szCs w:val="22"/>
          <w:lang w:val="en-US" w:eastAsia="zh-CN" w:bidi="ar-SA"/>
        </w:rPr>
        <w:t>360000</w:t>
      </w:r>
      <w:r>
        <w:rPr>
          <w:rFonts w:hint="eastAsia" w:ascii="宋体" w:hAnsi="宋体" w:cs="宋体"/>
          <w:bCs/>
          <w:color w:val="auto"/>
          <w:sz w:val="21"/>
          <w:szCs w:val="21"/>
          <w:lang w:eastAsia="zh-CN"/>
        </w:rPr>
        <w:t>元</w:t>
      </w:r>
    </w:p>
    <w:tbl>
      <w:tblPr>
        <w:tblStyle w:val="24"/>
        <w:tblW w:w="9908"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60"/>
        <w:gridCol w:w="2182"/>
        <w:gridCol w:w="2678"/>
        <w:gridCol w:w="1937"/>
        <w:gridCol w:w="2351"/>
      </w:tblGrid>
      <w:tr w14:paraId="3E0168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60"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379870E9">
            <w:pPr>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序号</w:t>
            </w:r>
          </w:p>
        </w:tc>
        <w:tc>
          <w:tcPr>
            <w:tcW w:w="2182"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3A21D879">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包号</w:t>
            </w:r>
          </w:p>
        </w:tc>
        <w:tc>
          <w:tcPr>
            <w:tcW w:w="2678"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65076CA6">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包名称</w:t>
            </w:r>
          </w:p>
        </w:tc>
        <w:tc>
          <w:tcPr>
            <w:tcW w:w="1937"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4FC48941">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包预算（元）</w:t>
            </w:r>
          </w:p>
        </w:tc>
        <w:tc>
          <w:tcPr>
            <w:tcW w:w="2351"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0586A531">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包最高限价（元）</w:t>
            </w:r>
          </w:p>
        </w:tc>
      </w:tr>
      <w:tr w14:paraId="2958BF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620" w:hRule="atLeast"/>
          <w:tblCellSpacing w:w="0" w:type="dxa"/>
          <w:jc w:val="center"/>
        </w:trPr>
        <w:tc>
          <w:tcPr>
            <w:tcW w:w="760"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28667DBE">
            <w:pPr>
              <w:wordWrap w:val="0"/>
              <w:spacing w:line="420" w:lineRule="atLeast"/>
              <w:jc w:val="center"/>
              <w:rPr>
                <w:rFonts w:hint="eastAsia" w:ascii="宋体" w:hAnsi="宋体" w:eastAsia="宋体" w:cs="宋体"/>
                <w:color w:val="000000"/>
                <w:sz w:val="18"/>
                <w:szCs w:val="18"/>
                <w:highlight w:val="none"/>
                <w:lang w:eastAsia="zh-CN" w:bidi="ar-SA"/>
              </w:rPr>
            </w:pPr>
            <w:r>
              <w:rPr>
                <w:rFonts w:hint="eastAsia" w:ascii="宋体" w:hAnsi="宋体" w:eastAsia="宋体" w:cs="宋体"/>
                <w:color w:val="000000"/>
                <w:sz w:val="18"/>
                <w:szCs w:val="18"/>
                <w:highlight w:val="none"/>
                <w:lang w:eastAsia="zh-CN" w:bidi="ar-SA"/>
              </w:rPr>
              <w:t>1</w:t>
            </w:r>
          </w:p>
        </w:tc>
        <w:tc>
          <w:tcPr>
            <w:tcW w:w="2182"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0243F725">
            <w:pPr>
              <w:wordWrap w:val="0"/>
              <w:spacing w:line="420" w:lineRule="atLeast"/>
              <w:jc w:val="center"/>
              <w:rPr>
                <w:rFonts w:hint="eastAsia" w:ascii="宋体" w:hAnsi="宋体" w:eastAsia="宋体" w:cs="宋体"/>
                <w:kern w:val="2"/>
                <w:sz w:val="22"/>
                <w:szCs w:val="22"/>
                <w:highlight w:val="none"/>
                <w:lang w:eastAsia="zh-CN" w:bidi="ar-SA"/>
              </w:rPr>
            </w:pPr>
          </w:p>
        </w:tc>
        <w:tc>
          <w:tcPr>
            <w:tcW w:w="2678"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504EB285">
            <w:pPr>
              <w:wordWrap w:val="0"/>
              <w:spacing w:line="420" w:lineRule="atLeast"/>
              <w:jc w:val="center"/>
              <w:rPr>
                <w:rFonts w:hint="default" w:ascii="宋体" w:hAnsi="宋体" w:eastAsia="宋体" w:cs="宋体"/>
                <w:b/>
                <w:bCs/>
                <w:kern w:val="2"/>
                <w:sz w:val="22"/>
                <w:szCs w:val="22"/>
                <w:highlight w:val="none"/>
                <w:lang w:val="en-US" w:eastAsia="zh-CN" w:bidi="ar-SA"/>
              </w:rPr>
            </w:pPr>
          </w:p>
        </w:tc>
        <w:tc>
          <w:tcPr>
            <w:tcW w:w="1937"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314127FB">
            <w:pPr>
              <w:wordWrap w:val="0"/>
              <w:spacing w:line="420" w:lineRule="atLeast"/>
              <w:jc w:val="center"/>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lang w:val="en-US" w:eastAsia="zh-CN" w:bidi="ar-SA"/>
              </w:rPr>
              <w:t>1</w:t>
            </w:r>
            <w:r>
              <w:rPr>
                <w:rFonts w:hint="eastAsia" w:cs="宋体"/>
                <w:kern w:val="2"/>
                <w:sz w:val="22"/>
                <w:szCs w:val="22"/>
                <w:lang w:val="en-US" w:eastAsia="zh-CN" w:bidi="ar-SA"/>
              </w:rPr>
              <w:t>360000</w:t>
            </w:r>
          </w:p>
        </w:tc>
        <w:tc>
          <w:tcPr>
            <w:tcW w:w="2351" w:type="dxa"/>
            <w:tcBorders>
              <w:top w:val="single" w:color="auto" w:sz="8" w:space="0"/>
              <w:left w:val="single" w:color="auto" w:sz="8" w:space="0"/>
              <w:bottom w:val="single" w:color="auto" w:sz="8" w:space="0"/>
              <w:right w:val="single" w:color="auto" w:sz="8" w:space="0"/>
            </w:tcBorders>
            <w:shd w:val="clear" w:color="auto" w:fill="FFFFFF"/>
            <w:noWrap w:val="0"/>
            <w:tcMar>
              <w:top w:w="120" w:type="dxa"/>
              <w:left w:w="0" w:type="dxa"/>
              <w:bottom w:w="0" w:type="dxa"/>
              <w:right w:w="0" w:type="dxa"/>
            </w:tcMar>
            <w:vAlign w:val="center"/>
          </w:tcPr>
          <w:p w14:paraId="03018647">
            <w:pPr>
              <w:wordWrap w:val="0"/>
              <w:spacing w:line="420" w:lineRule="atLeast"/>
              <w:jc w:val="center"/>
              <w:rPr>
                <w:rFonts w:hint="default" w:ascii="宋体" w:hAnsi="宋体" w:eastAsia="宋体" w:cs="宋体"/>
                <w:kern w:val="2"/>
                <w:sz w:val="22"/>
                <w:szCs w:val="22"/>
                <w:highlight w:val="none"/>
                <w:lang w:val="en-US" w:eastAsia="zh-CN" w:bidi="ar-SA"/>
              </w:rPr>
            </w:pPr>
            <w:r>
              <w:rPr>
                <w:rFonts w:hint="eastAsia" w:ascii="宋体" w:hAnsi="宋体" w:cs="宋体"/>
                <w:kern w:val="2"/>
                <w:sz w:val="22"/>
                <w:szCs w:val="22"/>
                <w:lang w:val="en-US" w:eastAsia="zh-CN" w:bidi="ar-SA"/>
              </w:rPr>
              <w:t>1</w:t>
            </w:r>
            <w:r>
              <w:rPr>
                <w:rFonts w:hint="eastAsia" w:cs="宋体"/>
                <w:kern w:val="2"/>
                <w:sz w:val="22"/>
                <w:szCs w:val="22"/>
                <w:lang w:val="en-US" w:eastAsia="zh-CN" w:bidi="ar-SA"/>
              </w:rPr>
              <w:t>360000</w:t>
            </w:r>
          </w:p>
        </w:tc>
      </w:tr>
    </w:tbl>
    <w:p w14:paraId="27E010E9">
      <w:pPr>
        <w:pStyle w:val="22"/>
        <w:widowControl w:val="0"/>
        <w:spacing w:beforeAutospacing="0" w:afterAutospacing="0" w:line="360" w:lineRule="auto"/>
        <w:ind w:firstLine="420"/>
        <w:rPr>
          <w:rFonts w:hint="eastAsia" w:ascii="宋体" w:hAnsi="宋体" w:cs="宋体"/>
          <w:bCs/>
          <w:color w:val="auto"/>
          <w:sz w:val="21"/>
          <w:szCs w:val="21"/>
          <w:lang w:eastAsia="zh-CN"/>
        </w:rPr>
      </w:pPr>
    </w:p>
    <w:p w14:paraId="750D9F6A">
      <w:pPr>
        <w:overflowPunct w:val="0"/>
        <w:spacing w:line="360" w:lineRule="auto"/>
        <w:ind w:firstLine="440" w:firstLineChars="200"/>
        <w:contextualSpacing/>
        <w:rPr>
          <w:rFonts w:hint="eastAsia" w:ascii="宋体" w:hAnsi="宋体" w:eastAsia="宋体" w:cs="宋体"/>
          <w:kern w:val="2"/>
          <w:sz w:val="22"/>
          <w:szCs w:val="22"/>
          <w:lang w:eastAsia="zh-CN" w:bidi="ar-SA"/>
        </w:rPr>
      </w:pPr>
      <w:bookmarkStart w:id="13" w:name="_Toc35393791"/>
      <w:bookmarkStart w:id="14" w:name="_Toc45550399"/>
      <w:bookmarkStart w:id="15" w:name="_Toc28359003"/>
      <w:bookmarkStart w:id="16" w:name="_Toc35393622"/>
      <w:bookmarkStart w:id="17" w:name="_Toc28359080"/>
      <w:bookmarkStart w:id="18" w:name="_Toc148539701"/>
      <w:r>
        <w:rPr>
          <w:rFonts w:hint="eastAsia" w:ascii="宋体" w:hAnsi="宋体" w:eastAsia="宋体" w:cs="宋体"/>
          <w:kern w:val="2"/>
          <w:sz w:val="22"/>
          <w:szCs w:val="22"/>
          <w:lang w:val="en-US" w:eastAsia="zh-CN" w:bidi="ar-SA"/>
        </w:rPr>
        <w:t>7</w:t>
      </w:r>
      <w:r>
        <w:rPr>
          <w:rFonts w:hint="eastAsia" w:ascii="宋体" w:hAnsi="宋体" w:eastAsia="宋体" w:cs="宋体"/>
          <w:kern w:val="2"/>
          <w:sz w:val="22"/>
          <w:szCs w:val="22"/>
          <w:lang w:eastAsia="zh-CN" w:bidi="ar-SA"/>
        </w:rPr>
        <w:t>、采购需求（包括但不限于标的的名称、数量、简要技术需求或服务要求等）</w:t>
      </w:r>
    </w:p>
    <w:p w14:paraId="1E3A3FDA">
      <w:pPr>
        <w:overflowPunct w:val="0"/>
        <w:spacing w:line="360" w:lineRule="auto"/>
        <w:ind w:firstLine="440" w:firstLineChars="200"/>
        <w:contextualSpacing/>
        <w:rPr>
          <w:rFonts w:hint="eastAsia"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（1）采购标的的名称、数量、简要技术需求：永城市中心医院采购物业保洁管理服务。（具体</w:t>
      </w:r>
      <w:r>
        <w:rPr>
          <w:rFonts w:hint="eastAsia" w:ascii="宋体" w:hAnsi="宋体" w:eastAsia="宋体" w:cs="宋体"/>
          <w:kern w:val="2"/>
          <w:sz w:val="22"/>
          <w:szCs w:val="22"/>
          <w:lang w:val="en-US" w:eastAsia="zh-CN" w:bidi="ar-SA"/>
        </w:rPr>
        <w:t>要求</w:t>
      </w:r>
      <w:r>
        <w:rPr>
          <w:rFonts w:hint="eastAsia" w:ascii="宋体" w:hAnsi="宋体" w:eastAsia="宋体" w:cs="宋体"/>
          <w:kern w:val="2"/>
          <w:sz w:val="22"/>
          <w:szCs w:val="22"/>
          <w:lang w:eastAsia="zh-CN" w:bidi="ar-SA"/>
        </w:rPr>
        <w:t>及</w:t>
      </w:r>
      <w:r>
        <w:rPr>
          <w:rFonts w:hint="eastAsia" w:ascii="宋体" w:hAnsi="宋体" w:eastAsia="宋体" w:cs="宋体"/>
          <w:kern w:val="2"/>
          <w:sz w:val="22"/>
          <w:szCs w:val="22"/>
          <w:lang w:val="en-US" w:eastAsia="zh-CN" w:bidi="ar-SA"/>
        </w:rPr>
        <w:t>数量</w:t>
      </w:r>
      <w:r>
        <w:rPr>
          <w:rFonts w:hint="eastAsia" w:ascii="宋体" w:hAnsi="宋体" w:eastAsia="宋体" w:cs="宋体"/>
          <w:kern w:val="2"/>
          <w:sz w:val="22"/>
          <w:szCs w:val="22"/>
          <w:lang w:eastAsia="zh-CN" w:bidi="ar-SA"/>
        </w:rPr>
        <w:t>详见招标文件）；</w:t>
      </w:r>
    </w:p>
    <w:p w14:paraId="69A79AE3">
      <w:pPr>
        <w:overflowPunct w:val="0"/>
        <w:spacing w:line="360" w:lineRule="auto"/>
        <w:ind w:firstLine="440" w:firstLineChars="200"/>
        <w:contextualSpacing/>
        <w:rPr>
          <w:rFonts w:hint="eastAsia"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（2）采购范围：医院物业保洁管理服务等；</w:t>
      </w:r>
    </w:p>
    <w:p w14:paraId="577DD0FF">
      <w:pPr>
        <w:overflowPunct w:val="0"/>
        <w:spacing w:line="360" w:lineRule="auto"/>
        <w:ind w:firstLine="440" w:firstLineChars="200"/>
        <w:contextualSpacing/>
        <w:rPr>
          <w:rFonts w:hint="eastAsia"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eastAsia="zh-CN" w:bidi="ar-SA"/>
        </w:rPr>
        <w:t>）</w:t>
      </w:r>
      <w:r>
        <w:rPr>
          <w:rFonts w:hint="eastAsia" w:ascii="宋体" w:hAnsi="宋体" w:eastAsia="宋体" w:cs="宋体"/>
          <w:kern w:val="2"/>
          <w:sz w:val="22"/>
          <w:szCs w:val="22"/>
          <w:lang w:val="en-US" w:eastAsia="zh-CN" w:bidi="ar-SA"/>
        </w:rPr>
        <w:t>服务期限</w:t>
      </w:r>
      <w:r>
        <w:rPr>
          <w:rFonts w:hint="eastAsia" w:ascii="宋体" w:hAnsi="宋体" w:eastAsia="宋体" w:cs="宋体"/>
          <w:kern w:val="2"/>
          <w:sz w:val="22"/>
          <w:szCs w:val="22"/>
          <w:lang w:eastAsia="zh-CN" w:bidi="ar-SA"/>
        </w:rPr>
        <w:t>：</w:t>
      </w:r>
      <w:r>
        <w:rPr>
          <w:rFonts w:hint="eastAsia" w:ascii="宋体" w:hAnsi="宋体" w:eastAsia="宋体" w:cs="宋体"/>
          <w:kern w:val="2"/>
          <w:sz w:val="22"/>
          <w:szCs w:val="22"/>
          <w:lang w:val="en-US" w:eastAsia="zh-CN" w:bidi="ar-SA"/>
        </w:rPr>
        <w:t>365</w:t>
      </w:r>
      <w:r>
        <w:rPr>
          <w:rFonts w:hint="eastAsia" w:ascii="宋体" w:hAnsi="宋体" w:eastAsia="宋体" w:cs="宋体"/>
          <w:kern w:val="2"/>
          <w:sz w:val="22"/>
          <w:szCs w:val="22"/>
          <w:lang w:eastAsia="zh-CN" w:bidi="ar-SA"/>
        </w:rPr>
        <w:t>日历天</w:t>
      </w:r>
    </w:p>
    <w:p w14:paraId="6FA9EBAF">
      <w:pPr>
        <w:overflowPunct w:val="0"/>
        <w:spacing w:line="360" w:lineRule="auto"/>
        <w:ind w:firstLine="440" w:firstLineChars="200"/>
        <w:contextualSpacing/>
        <w:rPr>
          <w:rFonts w:hint="eastAsia"/>
          <w:color w:val="auto"/>
          <w:sz w:val="21"/>
          <w:szCs w:val="21"/>
          <w:lang w:eastAsia="zh-CN"/>
        </w:rPr>
      </w:pPr>
      <w:r>
        <w:rPr>
          <w:rFonts w:hint="eastAsia" w:ascii="宋体" w:hAnsi="宋体" w:eastAsia="宋体" w:cs="宋体"/>
          <w:kern w:val="2"/>
          <w:sz w:val="22"/>
          <w:szCs w:val="22"/>
          <w:lang w:eastAsia="zh-CN" w:bidi="ar-SA"/>
        </w:rPr>
        <w:t>（</w:t>
      </w:r>
      <w:r>
        <w:rPr>
          <w:rFonts w:hint="eastAsia" w:ascii="宋体" w:hAnsi="宋体" w:eastAsia="宋体" w:cs="宋体"/>
          <w:kern w:val="2"/>
          <w:sz w:val="22"/>
          <w:szCs w:val="22"/>
          <w:lang w:val="en-US" w:eastAsia="zh-CN" w:bidi="ar-SA"/>
        </w:rPr>
        <w:t>4</w:t>
      </w:r>
      <w:r>
        <w:rPr>
          <w:rFonts w:hint="eastAsia" w:ascii="宋体" w:hAnsi="宋体" w:eastAsia="宋体" w:cs="宋体"/>
          <w:kern w:val="2"/>
          <w:sz w:val="22"/>
          <w:szCs w:val="22"/>
          <w:lang w:eastAsia="zh-CN" w:bidi="ar-SA"/>
        </w:rPr>
        <w:t>）质量要求：</w:t>
      </w:r>
      <w:r>
        <w:rPr>
          <w:rFonts w:hint="eastAsia"/>
          <w:color w:val="auto"/>
          <w:sz w:val="21"/>
          <w:szCs w:val="21"/>
          <w:lang w:eastAsia="zh-CN"/>
        </w:rPr>
        <w:t>符合国家现行规范标准及行业最新规定，达到合格标准且满足采购人要求</w:t>
      </w:r>
    </w:p>
    <w:p w14:paraId="762B6107">
      <w:pPr>
        <w:overflowPunct w:val="0"/>
        <w:spacing w:line="360" w:lineRule="auto"/>
        <w:ind w:firstLine="440" w:firstLineChars="200"/>
        <w:contextualSpacing/>
        <w:rPr>
          <w:rFonts w:hint="eastAsia"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w:t>
      </w:r>
      <w:r>
        <w:rPr>
          <w:rFonts w:hint="eastAsia" w:ascii="宋体" w:hAnsi="宋体" w:eastAsia="宋体" w:cs="宋体"/>
          <w:kern w:val="2"/>
          <w:sz w:val="22"/>
          <w:szCs w:val="22"/>
          <w:lang w:val="en-US" w:eastAsia="zh-CN" w:bidi="ar-SA"/>
        </w:rPr>
        <w:t>5</w:t>
      </w:r>
      <w:r>
        <w:rPr>
          <w:rFonts w:hint="eastAsia" w:ascii="宋体" w:hAnsi="宋体" w:eastAsia="宋体" w:cs="宋体"/>
          <w:kern w:val="2"/>
          <w:sz w:val="22"/>
          <w:szCs w:val="22"/>
          <w:lang w:eastAsia="zh-CN" w:bidi="ar-SA"/>
        </w:rPr>
        <w:t>）本项目共划分为 1 个包。</w:t>
      </w:r>
    </w:p>
    <w:p w14:paraId="1C0DE72A">
      <w:pPr>
        <w:pStyle w:val="6"/>
        <w:keepNext w:val="0"/>
        <w:overflowPunct w:val="0"/>
        <w:spacing w:before="0" w:after="0" w:line="360" w:lineRule="auto"/>
        <w:ind w:firstLine="442" w:firstLineChars="200"/>
        <w:contextualSpacing/>
        <w:rPr>
          <w:rFonts w:hint="eastAsia" w:ascii="宋体" w:hAnsi="宋体" w:eastAsia="宋体" w:cs="宋体"/>
          <w:b/>
          <w:bCs w:val="0"/>
          <w:i w:val="0"/>
          <w:iCs w:val="0"/>
          <w:sz w:val="22"/>
          <w:szCs w:val="22"/>
        </w:rPr>
      </w:pPr>
      <w:bookmarkStart w:id="19" w:name="_Toc28926"/>
      <w:r>
        <w:rPr>
          <w:rFonts w:hint="eastAsia" w:ascii="宋体" w:hAnsi="宋体" w:eastAsia="宋体" w:cs="宋体"/>
          <w:b/>
          <w:bCs w:val="0"/>
          <w:i w:val="0"/>
          <w:iCs w:val="0"/>
          <w:sz w:val="22"/>
          <w:szCs w:val="22"/>
        </w:rPr>
        <w:t>二、申请人的资格要求：</w:t>
      </w:r>
      <w:bookmarkEnd w:id="13"/>
      <w:bookmarkEnd w:id="14"/>
      <w:bookmarkEnd w:id="15"/>
      <w:bookmarkEnd w:id="16"/>
      <w:bookmarkEnd w:id="17"/>
      <w:bookmarkEnd w:id="18"/>
      <w:bookmarkEnd w:id="19"/>
    </w:p>
    <w:p w14:paraId="2B86E76A">
      <w:pPr>
        <w:overflowPunct w:val="0"/>
        <w:spacing w:line="360" w:lineRule="auto"/>
        <w:ind w:firstLine="440" w:firstLineChars="200"/>
        <w:contextualSpacing/>
        <w:rPr>
          <w:rFonts w:hint="eastAsia" w:ascii="宋体" w:hAnsi="宋体" w:eastAsia="宋体" w:cs="宋体"/>
          <w:sz w:val="22"/>
          <w:szCs w:val="22"/>
          <w:lang w:eastAsia="zh-CN"/>
        </w:rPr>
      </w:pPr>
      <w:r>
        <w:rPr>
          <w:rFonts w:hint="eastAsia" w:ascii="宋体" w:hAnsi="宋体" w:eastAsia="宋体" w:cs="宋体"/>
          <w:sz w:val="22"/>
          <w:szCs w:val="22"/>
          <w:lang w:eastAsia="zh-CN"/>
        </w:rPr>
        <w:t>1、满足《中华人民共和国政府采购法》第二十二条规定；</w:t>
      </w:r>
    </w:p>
    <w:p w14:paraId="6DA7DF82">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（1）具有独立承担民事责任的能力（提供有效的营业执照或相关的证明文件）；</w:t>
      </w:r>
    </w:p>
    <w:p w14:paraId="65B9E061">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（2）具有良好的商业信誉和健全的财务会计制度（提供2024年度经审计的年度财务状况报告，公司成立年限不足的企业应提供其基本开户银行出具的资信证明、财务报表）；</w:t>
      </w:r>
    </w:p>
    <w:p w14:paraId="24A1CE5C">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（3）具有履行合同所必需的设备和专业技术能力（供应商自行承诺，格式自拟，加盖公章 ）；</w:t>
      </w:r>
    </w:p>
    <w:p w14:paraId="76167B06">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供应商依法缴纳税收（提供投标截止时间前六个月内任意三个月完税证明或缴税凭证）和社会保障资金（提供投标截止时间前六个月内任意三个月的社保缴纳凭证或社保缴费记录)。依法免税或不需要缴纳社会保障资金的供应商，应提供相应证明文件。</w:t>
      </w:r>
    </w:p>
    <w:p w14:paraId="50BEE0F8">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（5）参加本次政府采购活动前三年内，在经营活动中没有重大违法记录（供应商自行承诺，格式自拟，加盖公章）；</w:t>
      </w:r>
    </w:p>
    <w:p w14:paraId="18416691">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（6）法律、行政法规规定的其他条件。</w:t>
      </w:r>
    </w:p>
    <w:p w14:paraId="432354F1">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2、根据《关于在政府采购活动中查询及使用信用记录有关问题的通知》(财库2016]125号)的规 定，对列入失信被执行人、重大税收违法案件当事人名单、政府采购严重违法失信行为记录名单的供 应商，拒绝参与本项目政府采购活动；【查询渠道：“信用中国”网站（www.creditchina.gov.cn） 、中国政府采购网（www.ccgp.gov.cn），提供查询结果网页截图，查询时间：不得早于公告发布之日 】；</w:t>
      </w:r>
    </w:p>
    <w:p w14:paraId="39EAB200">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3、落实政府采购政策满足的资格要求：</w:t>
      </w:r>
    </w:p>
    <w:p w14:paraId="05C40348">
      <w:pPr>
        <w:overflowPunct w:val="0"/>
        <w:spacing w:line="360" w:lineRule="auto"/>
        <w:ind w:firstLine="440" w:firstLineChars="200"/>
        <w:contextualSpacing/>
        <w:rPr>
          <w:rFonts w:hint="eastAsia" w:ascii="Arial" w:hAnsi="Arial" w:eastAsia="Arial" w:cs="Arial"/>
          <w:snapToGrid w:val="0"/>
          <w:color w:val="000000"/>
          <w:spacing w:val="7"/>
          <w:kern w:val="0"/>
          <w:sz w:val="21"/>
          <w:szCs w:val="21"/>
          <w:lang w:val="en-US" w:eastAsia="zh-CN" w:bidi="ar-SA"/>
        </w:rPr>
      </w:pPr>
      <w:r>
        <w:rPr>
          <w:rFonts w:hint="eastAsia" w:ascii="宋体" w:hAnsi="宋体" w:eastAsia="宋体" w:cs="宋体"/>
          <w:sz w:val="22"/>
          <w:szCs w:val="22"/>
          <w:lang w:val="en-US" w:eastAsia="zh-CN"/>
        </w:rPr>
        <w:t>（1）是否专门面向中小企业：是.。</w:t>
      </w:r>
      <w:r>
        <w:rPr>
          <w:rFonts w:hint="eastAsia" w:ascii="宋体" w:hAnsi="宋体" w:eastAsia="Arial" w:cs="宋体"/>
          <w:snapToGrid w:val="0"/>
          <w:color w:val="auto"/>
          <w:sz w:val="21"/>
          <w:szCs w:val="21"/>
          <w:lang w:val="en-US" w:eastAsia="zh-CN" w:bidi="ar-SA"/>
        </w:rPr>
        <w:t>扶持不发达地区和少数民族地区，促进中小企业和监狱企业发展扶持政策、政府强制采购节能产品、节能产品及环境标志产品优先采购</w:t>
      </w:r>
      <w:r>
        <w:rPr>
          <w:rFonts w:hint="eastAsia" w:ascii="宋体" w:hAnsi="宋体" w:cs="宋体"/>
          <w:snapToGrid w:val="0"/>
          <w:color w:val="auto"/>
          <w:sz w:val="21"/>
          <w:szCs w:val="21"/>
          <w:lang w:val="en-US" w:eastAsia="zh-CN" w:bidi="ar-SA"/>
        </w:rPr>
        <w:t>，</w:t>
      </w:r>
      <w:r>
        <w:rPr>
          <w:rFonts w:hint="eastAsia" w:ascii="Arial" w:hAnsi="Arial" w:eastAsia="Arial" w:cs="Arial"/>
          <w:snapToGrid w:val="0"/>
          <w:color w:val="000000"/>
          <w:spacing w:val="7"/>
          <w:kern w:val="0"/>
          <w:sz w:val="21"/>
          <w:szCs w:val="21"/>
          <w:lang w:val="en-US" w:eastAsia="zh-CN" w:bidi="ar-SA"/>
        </w:rPr>
        <w:t>本项目专门面向中小企业采购，非中、小、微型企业不可参与本次磋商，监狱企业、残疾人福利性企业视同小、微型企业。</w:t>
      </w:r>
    </w:p>
    <w:p w14:paraId="47441E05">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4、本次招标不接受联合体投标，不允许分包和转包。</w:t>
      </w:r>
    </w:p>
    <w:p w14:paraId="787C0723">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5、单位负责人为同一人或者存在直接控股、管理关系的不同供应商，不得参加同一合同项下的政府采购活动；</w:t>
      </w:r>
    </w:p>
    <w:p w14:paraId="28BC6C58">
      <w:pPr>
        <w:overflowPunct w:val="0"/>
        <w:spacing w:line="360" w:lineRule="auto"/>
        <w:ind w:firstLine="440" w:firstLineChars="200"/>
        <w:contextualSpacing/>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6、是否接受进口产品：否</w:t>
      </w:r>
    </w:p>
    <w:p w14:paraId="3187050E">
      <w:pPr>
        <w:pStyle w:val="30"/>
        <w:spacing w:after="0" w:line="360" w:lineRule="auto"/>
        <w:ind w:left="0" w:leftChars="0" w:firstLine="0" w:firstLineChars="0"/>
        <w:outlineLvl w:val="1"/>
        <w:rPr>
          <w:rFonts w:ascii="宋体" w:hAnsi="宋体" w:eastAsia="宋体" w:cs="宋体"/>
          <w:b/>
          <w:bCs/>
          <w:color w:val="auto"/>
          <w:sz w:val="21"/>
          <w:lang w:eastAsia="zh-CN"/>
        </w:rPr>
      </w:pPr>
      <w:r>
        <w:rPr>
          <w:rFonts w:hint="eastAsia" w:ascii="宋体" w:hAnsi="宋体" w:eastAsia="宋体" w:cs="宋体"/>
          <w:b/>
          <w:bCs/>
          <w:color w:val="auto"/>
          <w:kern w:val="0"/>
          <w:sz w:val="21"/>
          <w:lang w:eastAsia="zh-CN"/>
        </w:rPr>
        <w:t>三、获取采购文件</w:t>
      </w:r>
    </w:p>
    <w:p w14:paraId="7886EE23">
      <w:pPr>
        <w:spacing w:line="360" w:lineRule="auto"/>
        <w:ind w:firstLine="432" w:firstLineChars="193"/>
        <w:rPr>
          <w:rFonts w:hint="eastAsia" w:ascii="Arial" w:hAnsi="Arial" w:eastAsia="Arial" w:cs="Arial"/>
          <w:snapToGrid w:val="0"/>
          <w:color w:val="000000"/>
          <w:spacing w:val="7"/>
          <w:sz w:val="21"/>
          <w:szCs w:val="21"/>
          <w:lang w:val="en-US" w:eastAsia="zh-CN" w:bidi="ar-SA"/>
        </w:rPr>
      </w:pPr>
      <w:r>
        <w:rPr>
          <w:rFonts w:hint="eastAsia" w:ascii="Arial" w:hAnsi="Arial" w:eastAsia="Arial" w:cs="Arial"/>
          <w:snapToGrid w:val="0"/>
          <w:color w:val="000000"/>
          <w:spacing w:val="7"/>
          <w:sz w:val="21"/>
          <w:szCs w:val="21"/>
          <w:lang w:val="en-US" w:eastAsia="zh-CN" w:bidi="ar-SA"/>
        </w:rPr>
        <w:t>1、时间：自公告发布之时起至响应截止时间</w:t>
      </w:r>
    </w:p>
    <w:p w14:paraId="0EAA3709">
      <w:pPr>
        <w:spacing w:line="360" w:lineRule="auto"/>
        <w:ind w:firstLine="420"/>
        <w:rPr>
          <w:rFonts w:hint="eastAsia" w:ascii="Arial" w:hAnsi="Arial" w:eastAsia="Arial" w:cs="Arial"/>
          <w:snapToGrid w:val="0"/>
          <w:color w:val="000000"/>
          <w:spacing w:val="7"/>
          <w:sz w:val="21"/>
          <w:szCs w:val="21"/>
          <w:lang w:val="en-US" w:eastAsia="zh-CN" w:bidi="ar-SA"/>
        </w:rPr>
      </w:pPr>
      <w:r>
        <w:rPr>
          <w:rFonts w:hint="eastAsia" w:ascii="Arial" w:hAnsi="Arial" w:eastAsia="Arial" w:cs="Arial"/>
          <w:snapToGrid w:val="0"/>
          <w:color w:val="000000"/>
          <w:spacing w:val="7"/>
          <w:sz w:val="21"/>
          <w:szCs w:val="21"/>
          <w:lang w:val="en-US" w:eastAsia="zh-CN" w:bidi="ar-SA"/>
        </w:rPr>
        <w:t>2、地点：商丘市公共资源交易中心网站</w:t>
      </w:r>
    </w:p>
    <w:p w14:paraId="0299B3CF">
      <w:pPr>
        <w:spacing w:line="360" w:lineRule="auto"/>
        <w:ind w:firstLine="420"/>
        <w:rPr>
          <w:rFonts w:hint="eastAsia" w:ascii="Arial" w:hAnsi="Arial" w:eastAsia="Arial" w:cs="Arial"/>
          <w:snapToGrid w:val="0"/>
          <w:color w:val="000000"/>
          <w:spacing w:val="7"/>
          <w:sz w:val="21"/>
          <w:szCs w:val="21"/>
          <w:lang w:val="en-US" w:eastAsia="zh-CN" w:bidi="ar-SA"/>
        </w:rPr>
      </w:pPr>
      <w:r>
        <w:rPr>
          <w:rFonts w:hint="eastAsia" w:ascii="Arial" w:hAnsi="Arial" w:eastAsia="Arial" w:cs="Arial"/>
          <w:snapToGrid w:val="0"/>
          <w:color w:val="000000"/>
          <w:spacing w:val="7"/>
          <w:sz w:val="21"/>
          <w:szCs w:val="21"/>
          <w:lang w:val="en-US" w:eastAsia="zh-CN" w:bidi="ar-SA"/>
        </w:rPr>
        <w:t>3、方式：凡有意参加投标（磋商）者，请登录商丘市公共资源交易中心网站(https://ggzyjy.shangqiu.gov.cn/) 点击公告中的我要投标或者登陆后选择项目按照页面提示进行下载磋商文件；企业可直接在该公告下方相关附件下载也可以免费注册登录交易平台下载磋商文件。</w:t>
      </w:r>
    </w:p>
    <w:p w14:paraId="4279EB32">
      <w:pPr>
        <w:spacing w:line="360" w:lineRule="auto"/>
        <w:ind w:firstLine="420"/>
        <w:rPr>
          <w:rFonts w:hint="eastAsia" w:ascii="Arial" w:hAnsi="Arial" w:eastAsia="Arial" w:cs="Arial"/>
          <w:snapToGrid w:val="0"/>
          <w:color w:val="000000"/>
          <w:spacing w:val="7"/>
          <w:sz w:val="21"/>
          <w:szCs w:val="21"/>
          <w:lang w:val="en-US" w:eastAsia="zh-CN" w:bidi="ar-SA"/>
        </w:rPr>
      </w:pPr>
      <w:r>
        <w:rPr>
          <w:rFonts w:hint="eastAsia" w:ascii="Arial" w:hAnsi="Arial" w:eastAsia="Arial" w:cs="Arial"/>
          <w:snapToGrid w:val="0"/>
          <w:color w:val="000000"/>
          <w:spacing w:val="7"/>
          <w:sz w:val="21"/>
          <w:szCs w:val="21"/>
          <w:lang w:val="en-US" w:eastAsia="zh-CN" w:bidi="ar-SA"/>
        </w:rPr>
        <w:t>4、售价：0元。</w:t>
      </w:r>
    </w:p>
    <w:p w14:paraId="4C7032BF">
      <w:pPr>
        <w:spacing w:line="360" w:lineRule="auto"/>
        <w:outlineLvl w:val="1"/>
        <w:rPr>
          <w:rFonts w:ascii="宋体" w:hAnsi="宋体" w:cs="宋体"/>
          <w:b/>
          <w:bCs/>
          <w:color w:val="auto"/>
          <w:lang w:eastAsia="zh-CN"/>
        </w:rPr>
      </w:pPr>
      <w:r>
        <w:rPr>
          <w:rFonts w:hint="eastAsia" w:ascii="宋体" w:hAnsi="宋体" w:cs="宋体"/>
          <w:b/>
          <w:bCs/>
          <w:color w:val="auto"/>
          <w:lang w:eastAsia="zh-CN"/>
        </w:rPr>
        <w:t>四、响应文件</w:t>
      </w:r>
      <w:r>
        <w:rPr>
          <w:rFonts w:hint="eastAsia" w:ascii="宋体" w:hAnsi="宋体" w:cs="宋体"/>
          <w:b/>
          <w:bCs/>
          <w:color w:val="auto"/>
          <w:lang w:val="en-US" w:eastAsia="zh-CN"/>
        </w:rPr>
        <w:t>截止及地点</w:t>
      </w:r>
      <w:r>
        <w:rPr>
          <w:rFonts w:hint="eastAsia" w:ascii="宋体" w:hAnsi="宋体" w:cs="宋体"/>
          <w:b/>
          <w:bCs/>
          <w:color w:val="auto"/>
          <w:lang w:eastAsia="zh-CN"/>
        </w:rPr>
        <w:t>：</w:t>
      </w:r>
    </w:p>
    <w:p w14:paraId="5A71E31A">
      <w:pPr>
        <w:pStyle w:val="22"/>
        <w:widowControl w:val="0"/>
        <w:tabs>
          <w:tab w:val="left" w:pos="2400"/>
          <w:tab w:val="left" w:pos="3460"/>
          <w:tab w:val="left" w:pos="7689"/>
          <w:tab w:val="left" w:pos="7737"/>
        </w:tabs>
        <w:spacing w:beforeAutospacing="0" w:afterAutospacing="0" w:line="360" w:lineRule="auto"/>
        <w:ind w:firstLine="420"/>
        <w:rPr>
          <w:color w:val="auto"/>
          <w:sz w:val="21"/>
          <w:szCs w:val="21"/>
          <w:lang w:eastAsia="zh-CN"/>
        </w:rPr>
      </w:pPr>
      <w:r>
        <w:rPr>
          <w:rFonts w:hint="eastAsia"/>
          <w:color w:val="auto"/>
          <w:sz w:val="21"/>
          <w:szCs w:val="21"/>
          <w:lang w:eastAsia="zh-CN"/>
        </w:rPr>
        <w:t>1、时间：2025年</w:t>
      </w:r>
      <w:r>
        <w:rPr>
          <w:rFonts w:hint="eastAsia"/>
          <w:color w:val="auto"/>
          <w:sz w:val="21"/>
          <w:szCs w:val="21"/>
          <w:lang w:val="en-US" w:eastAsia="zh-CN"/>
        </w:rPr>
        <w:t xml:space="preserve"> 7 </w:t>
      </w:r>
      <w:r>
        <w:rPr>
          <w:rFonts w:hint="eastAsia"/>
          <w:color w:val="auto"/>
          <w:sz w:val="21"/>
          <w:szCs w:val="21"/>
          <w:lang w:eastAsia="zh-CN"/>
        </w:rPr>
        <w:t>月</w:t>
      </w:r>
      <w:r>
        <w:rPr>
          <w:rFonts w:hint="eastAsia"/>
          <w:color w:val="auto"/>
          <w:sz w:val="21"/>
          <w:szCs w:val="21"/>
          <w:lang w:val="en-US" w:eastAsia="zh-CN"/>
        </w:rPr>
        <w:t xml:space="preserve"> 22 </w:t>
      </w:r>
      <w:r>
        <w:rPr>
          <w:rFonts w:hint="eastAsia"/>
          <w:color w:val="auto"/>
          <w:sz w:val="21"/>
          <w:szCs w:val="21"/>
          <w:lang w:eastAsia="zh-CN"/>
        </w:rPr>
        <w:t>日</w:t>
      </w:r>
      <w:r>
        <w:rPr>
          <w:rFonts w:hint="eastAsia"/>
          <w:color w:val="auto"/>
          <w:sz w:val="21"/>
          <w:szCs w:val="21"/>
          <w:lang w:val="en-US" w:eastAsia="zh-CN"/>
        </w:rPr>
        <w:t xml:space="preserve"> 8</w:t>
      </w:r>
      <w:r>
        <w:rPr>
          <w:rFonts w:hint="eastAsia" w:eastAsiaTheme="minorEastAsia"/>
          <w:color w:val="auto"/>
          <w:sz w:val="21"/>
          <w:szCs w:val="21"/>
          <w:lang w:eastAsia="zh-CN"/>
        </w:rPr>
        <w:t xml:space="preserve"> </w:t>
      </w:r>
      <w:r>
        <w:rPr>
          <w:rFonts w:hint="eastAsia"/>
          <w:color w:val="auto"/>
          <w:sz w:val="21"/>
          <w:szCs w:val="21"/>
          <w:lang w:eastAsia="zh-CN"/>
        </w:rPr>
        <w:t>时</w:t>
      </w:r>
      <w:r>
        <w:rPr>
          <w:rFonts w:hint="eastAsia" w:eastAsiaTheme="minorEastAsia"/>
          <w:color w:val="auto"/>
          <w:sz w:val="21"/>
          <w:szCs w:val="21"/>
          <w:lang w:val="en-US" w:eastAsia="zh-CN"/>
        </w:rPr>
        <w:t>00</w:t>
      </w:r>
      <w:r>
        <w:rPr>
          <w:rFonts w:hint="eastAsia"/>
          <w:color w:val="auto"/>
          <w:sz w:val="21"/>
          <w:szCs w:val="21"/>
          <w:lang w:eastAsia="zh-CN"/>
        </w:rPr>
        <w:t>分（北京时间）。</w:t>
      </w:r>
    </w:p>
    <w:p w14:paraId="658FECB7">
      <w:pPr>
        <w:spacing w:line="360" w:lineRule="auto"/>
        <w:ind w:firstLine="420"/>
        <w:rPr>
          <w:rFonts w:ascii="宋体" w:hAnsi="宋体" w:eastAsia="宋体" w:cs="宋体"/>
          <w:color w:val="auto"/>
          <w:lang w:eastAsia="zh-CN"/>
        </w:rPr>
      </w:pPr>
      <w:r>
        <w:rPr>
          <w:rFonts w:hint="eastAsia" w:ascii="宋体" w:hAnsi="宋体" w:cs="宋体"/>
          <w:color w:val="auto"/>
        </w:rPr>
        <w:t>2、地点：商丘市公共资源交易中心网站(https://ggzyjy.shangqiu.gov.cn/)</w:t>
      </w:r>
      <w:r>
        <w:rPr>
          <w:rFonts w:hint="eastAsia" w:ascii="宋体" w:hAnsi="宋体" w:cs="宋体"/>
          <w:color w:val="auto"/>
          <w:lang w:eastAsia="zh-CN"/>
        </w:rPr>
        <w:t>递交</w:t>
      </w:r>
    </w:p>
    <w:p w14:paraId="6569D596">
      <w:pPr>
        <w:spacing w:line="360" w:lineRule="auto"/>
        <w:outlineLvl w:val="1"/>
        <w:rPr>
          <w:rFonts w:ascii="宋体" w:hAnsi="宋体" w:cs="宋体"/>
          <w:b/>
          <w:bCs/>
          <w:color w:val="auto"/>
          <w:lang w:eastAsia="zh-CN"/>
        </w:rPr>
      </w:pPr>
      <w:r>
        <w:rPr>
          <w:rFonts w:hint="eastAsia" w:ascii="宋体" w:hAnsi="宋体" w:cs="宋体"/>
          <w:b/>
          <w:bCs/>
          <w:color w:val="auto"/>
          <w:lang w:eastAsia="zh-CN"/>
        </w:rPr>
        <w:t>五、响应文件开启：</w:t>
      </w:r>
    </w:p>
    <w:p w14:paraId="62E95993">
      <w:pPr>
        <w:pStyle w:val="22"/>
        <w:widowControl w:val="0"/>
        <w:tabs>
          <w:tab w:val="left" w:pos="2400"/>
          <w:tab w:val="left" w:pos="3460"/>
          <w:tab w:val="left" w:pos="7689"/>
          <w:tab w:val="left" w:pos="7737"/>
        </w:tabs>
        <w:spacing w:beforeAutospacing="0" w:afterAutospacing="0" w:line="360" w:lineRule="auto"/>
        <w:ind w:firstLine="420"/>
        <w:rPr>
          <w:color w:val="auto"/>
          <w:sz w:val="21"/>
          <w:szCs w:val="21"/>
          <w:lang w:eastAsia="zh-CN"/>
        </w:rPr>
      </w:pPr>
      <w:r>
        <w:rPr>
          <w:rFonts w:hint="eastAsia"/>
          <w:color w:val="auto"/>
          <w:sz w:val="21"/>
          <w:szCs w:val="21"/>
          <w:lang w:eastAsia="zh-CN"/>
        </w:rPr>
        <w:t>1、时间：</w:t>
      </w:r>
      <w:r>
        <w:rPr>
          <w:rFonts w:hint="eastAsia"/>
          <w:bCs/>
          <w:color w:val="auto"/>
          <w:sz w:val="21"/>
          <w:szCs w:val="21"/>
          <w:lang w:eastAsia="zh-CN"/>
        </w:rPr>
        <w:t>2025年</w:t>
      </w:r>
      <w:r>
        <w:rPr>
          <w:rFonts w:hint="eastAsia"/>
          <w:bCs/>
          <w:color w:val="auto"/>
          <w:sz w:val="21"/>
          <w:szCs w:val="21"/>
          <w:lang w:val="en-US" w:eastAsia="zh-CN"/>
        </w:rPr>
        <w:t xml:space="preserve"> 7 </w:t>
      </w:r>
      <w:r>
        <w:rPr>
          <w:rFonts w:hint="eastAsia"/>
          <w:bCs/>
          <w:color w:val="auto"/>
          <w:sz w:val="21"/>
          <w:szCs w:val="21"/>
          <w:lang w:eastAsia="zh-CN"/>
        </w:rPr>
        <w:t>月</w:t>
      </w:r>
      <w:r>
        <w:rPr>
          <w:rFonts w:hint="eastAsia"/>
          <w:bCs/>
          <w:color w:val="auto"/>
          <w:sz w:val="21"/>
          <w:szCs w:val="21"/>
          <w:lang w:val="en-US" w:eastAsia="zh-CN"/>
        </w:rPr>
        <w:t xml:space="preserve"> 22 </w:t>
      </w:r>
      <w:r>
        <w:rPr>
          <w:rFonts w:hint="eastAsia"/>
          <w:bCs/>
          <w:color w:val="auto"/>
          <w:sz w:val="21"/>
          <w:szCs w:val="21"/>
          <w:lang w:eastAsia="zh-CN"/>
        </w:rPr>
        <w:t>日</w:t>
      </w:r>
      <w:r>
        <w:rPr>
          <w:rFonts w:hint="eastAsia"/>
          <w:bCs/>
          <w:color w:val="auto"/>
          <w:sz w:val="21"/>
          <w:szCs w:val="21"/>
          <w:lang w:val="en-US" w:eastAsia="zh-CN"/>
        </w:rPr>
        <w:t xml:space="preserve"> 9</w:t>
      </w:r>
      <w:r>
        <w:rPr>
          <w:rFonts w:hint="eastAsia" w:eastAsiaTheme="minorEastAsia"/>
          <w:bCs/>
          <w:color w:val="auto"/>
          <w:sz w:val="21"/>
          <w:szCs w:val="21"/>
          <w:lang w:eastAsia="zh-CN"/>
        </w:rPr>
        <w:t xml:space="preserve"> </w:t>
      </w:r>
      <w:r>
        <w:rPr>
          <w:rFonts w:hint="eastAsia"/>
          <w:bCs/>
          <w:color w:val="auto"/>
          <w:sz w:val="21"/>
          <w:szCs w:val="21"/>
          <w:lang w:eastAsia="zh-CN"/>
        </w:rPr>
        <w:t>时</w:t>
      </w:r>
      <w:r>
        <w:rPr>
          <w:rFonts w:hint="eastAsia"/>
          <w:bCs/>
          <w:color w:val="auto"/>
          <w:sz w:val="21"/>
          <w:szCs w:val="21"/>
          <w:lang w:val="en-US" w:eastAsia="zh-CN"/>
        </w:rPr>
        <w:t xml:space="preserve"> 00 </w:t>
      </w:r>
      <w:r>
        <w:rPr>
          <w:rFonts w:hint="eastAsia"/>
          <w:bCs/>
          <w:color w:val="auto"/>
          <w:sz w:val="21"/>
          <w:szCs w:val="21"/>
          <w:lang w:eastAsia="zh-CN"/>
        </w:rPr>
        <w:t>分</w:t>
      </w:r>
      <w:r>
        <w:rPr>
          <w:rFonts w:hint="eastAsia"/>
          <w:color w:val="auto"/>
          <w:sz w:val="21"/>
          <w:szCs w:val="21"/>
          <w:lang w:eastAsia="zh-CN"/>
        </w:rPr>
        <w:t>（北京时间）。</w:t>
      </w:r>
    </w:p>
    <w:p w14:paraId="238055D8">
      <w:pPr>
        <w:spacing w:line="360" w:lineRule="auto"/>
        <w:ind w:firstLine="420"/>
        <w:rPr>
          <w:rFonts w:hint="eastAsia" w:ascii="宋体" w:hAnsi="宋体" w:eastAsia="Arial" w:cs="宋体"/>
          <w:bCs/>
          <w:snapToGrid w:val="0"/>
          <w:color w:val="auto"/>
          <w:sz w:val="21"/>
          <w:szCs w:val="21"/>
          <w:lang w:val="en-US" w:eastAsia="zh-CN" w:bidi="ar-SA"/>
        </w:rPr>
      </w:pPr>
      <w:r>
        <w:rPr>
          <w:rFonts w:hint="eastAsia" w:ascii="宋体" w:hAnsi="宋体" w:cs="宋体"/>
          <w:color w:val="auto"/>
          <w:lang w:eastAsia="zh-CN"/>
        </w:rPr>
        <w:t>2</w:t>
      </w:r>
      <w:r>
        <w:rPr>
          <w:rFonts w:hint="eastAsia" w:ascii="宋体" w:hAnsi="宋体" w:eastAsia="Arial" w:cs="宋体"/>
          <w:bCs/>
          <w:snapToGrid w:val="0"/>
          <w:color w:val="auto"/>
          <w:sz w:val="21"/>
          <w:szCs w:val="21"/>
          <w:lang w:val="en-US" w:eastAsia="zh-CN" w:bidi="ar-SA"/>
        </w:rPr>
        <w:t>、地点：永城市公共资源交易中心第</w:t>
      </w:r>
      <w:r>
        <w:rPr>
          <w:rFonts w:hint="eastAsia" w:ascii="宋体" w:hAnsi="宋体" w:cs="宋体"/>
          <w:bCs/>
          <w:snapToGrid w:val="0"/>
          <w:color w:val="auto"/>
          <w:sz w:val="21"/>
          <w:szCs w:val="21"/>
          <w:lang w:val="en-US" w:eastAsia="zh-CN" w:bidi="ar-SA"/>
        </w:rPr>
        <w:t xml:space="preserve"> 1 </w:t>
      </w:r>
      <w:r>
        <w:rPr>
          <w:rFonts w:hint="eastAsia" w:ascii="宋体" w:hAnsi="宋体" w:eastAsia="Arial" w:cs="宋体"/>
          <w:bCs/>
          <w:snapToGrid w:val="0"/>
          <w:color w:val="auto"/>
          <w:sz w:val="21"/>
          <w:szCs w:val="21"/>
          <w:lang w:val="en-US" w:eastAsia="zh-CN" w:bidi="ar-SA"/>
        </w:rPr>
        <w:t>开标室。</w:t>
      </w:r>
    </w:p>
    <w:p w14:paraId="369193EB">
      <w:pPr>
        <w:spacing w:line="360" w:lineRule="auto"/>
        <w:outlineLvl w:val="1"/>
        <w:rPr>
          <w:rFonts w:ascii="宋体" w:hAnsi="宋体" w:cs="宋体"/>
          <w:b/>
          <w:bCs/>
          <w:color w:val="auto"/>
          <w:lang w:eastAsia="zh-CN"/>
        </w:rPr>
      </w:pPr>
      <w:r>
        <w:rPr>
          <w:rFonts w:hint="eastAsia" w:ascii="宋体" w:hAnsi="宋体" w:cs="宋体"/>
          <w:b/>
          <w:bCs/>
          <w:color w:val="auto"/>
          <w:lang w:eastAsia="zh-CN"/>
        </w:rPr>
        <w:t>六、发布公告的媒介及招标公告期限：</w:t>
      </w:r>
    </w:p>
    <w:p w14:paraId="4F833DAC">
      <w:pPr>
        <w:spacing w:line="360" w:lineRule="auto"/>
        <w:ind w:firstLine="420"/>
        <w:rPr>
          <w:rFonts w:hint="eastAsia" w:ascii="宋体" w:hAnsi="宋体" w:eastAsia="Arial" w:cs="宋体"/>
          <w:snapToGrid w:val="0"/>
          <w:color w:val="auto"/>
          <w:sz w:val="21"/>
          <w:szCs w:val="21"/>
          <w:lang w:val="en-US" w:eastAsia="zh-CN" w:bidi="ar-SA"/>
        </w:rPr>
      </w:pPr>
      <w:r>
        <w:rPr>
          <w:rFonts w:hint="eastAsia" w:ascii="宋体" w:hAnsi="宋体" w:cs="宋体"/>
          <w:color w:val="auto"/>
          <w:lang w:eastAsia="zh-CN"/>
        </w:rPr>
        <w:t>本次</w:t>
      </w:r>
      <w:r>
        <w:rPr>
          <w:rFonts w:hint="eastAsia" w:ascii="宋体" w:hAnsi="宋体" w:cs="宋体"/>
          <w:color w:val="auto"/>
          <w:lang w:val="en-US" w:eastAsia="zh-CN"/>
        </w:rPr>
        <w:t>磋商</w:t>
      </w:r>
      <w:r>
        <w:rPr>
          <w:rFonts w:hint="eastAsia" w:ascii="宋体" w:hAnsi="宋体" w:cs="宋体"/>
          <w:color w:val="auto"/>
          <w:lang w:eastAsia="zh-CN"/>
        </w:rPr>
        <w:t>公告在</w:t>
      </w:r>
      <w:r>
        <w:rPr>
          <w:rFonts w:hint="eastAsia" w:ascii="宋体" w:hAnsi="宋体" w:eastAsia="Arial" w:cs="宋体"/>
          <w:snapToGrid w:val="0"/>
          <w:color w:val="auto"/>
          <w:sz w:val="21"/>
          <w:szCs w:val="21"/>
          <w:lang w:val="en-US" w:eastAsia="zh-CN" w:bidi="ar-SA"/>
        </w:rPr>
        <w:t>《河南省政府采购网》、《商丘市公共资源交易平台》上发布。</w:t>
      </w:r>
    </w:p>
    <w:p w14:paraId="1B8A471F">
      <w:pPr>
        <w:pStyle w:val="3"/>
        <w:numPr>
          <w:ilvl w:val="0"/>
          <w:numId w:val="0"/>
        </w:numPr>
        <w:spacing w:line="360" w:lineRule="auto"/>
        <w:outlineLvl w:val="1"/>
        <w:rPr>
          <w:rFonts w:hint="eastAsia" w:ascii="宋体" w:hAnsi="宋体" w:eastAsia="Arial" w:cs="宋体"/>
          <w:snapToGrid w:val="0"/>
          <w:color w:val="auto"/>
          <w:sz w:val="21"/>
          <w:szCs w:val="21"/>
          <w:lang w:val="en-US" w:eastAsia="zh-CN" w:bidi="ar-SA"/>
        </w:rPr>
      </w:pPr>
      <w:r>
        <w:rPr>
          <w:rFonts w:hint="eastAsia" w:ascii="宋体" w:hAnsi="宋体" w:eastAsia="Arial" w:cs="宋体"/>
          <w:snapToGrid w:val="0"/>
          <w:color w:val="auto"/>
          <w:sz w:val="21"/>
          <w:szCs w:val="21"/>
          <w:lang w:val="en-US" w:eastAsia="en-US" w:bidi="ar-SA"/>
        </w:rPr>
        <w:t>七、</w:t>
      </w:r>
      <w:r>
        <w:rPr>
          <w:rFonts w:hint="eastAsia" w:ascii="宋体" w:hAnsi="宋体" w:eastAsia="Arial" w:cs="宋体"/>
          <w:snapToGrid w:val="0"/>
          <w:color w:val="auto"/>
          <w:sz w:val="21"/>
          <w:szCs w:val="21"/>
          <w:lang w:val="en-US" w:eastAsia="zh-CN" w:bidi="ar-SA"/>
        </w:rPr>
        <w:t>其他补充事宜：</w:t>
      </w:r>
    </w:p>
    <w:p w14:paraId="0FF2EB46">
      <w:pPr>
        <w:spacing w:line="360" w:lineRule="auto"/>
        <w:ind w:firstLine="420"/>
        <w:rPr>
          <w:rFonts w:hint="eastAsia" w:ascii="宋体" w:hAnsi="宋体" w:cs="宋体"/>
          <w:color w:val="auto"/>
          <w:lang w:eastAsia="zh-CN"/>
        </w:rPr>
      </w:pPr>
      <w:r>
        <w:rPr>
          <w:rFonts w:hint="eastAsia" w:ascii="宋体" w:hAnsi="宋体" w:cs="宋体"/>
          <w:color w:val="auto"/>
          <w:lang w:val="en-US" w:eastAsia="zh-CN"/>
        </w:rPr>
        <w:t>7</w:t>
      </w:r>
      <w:r>
        <w:rPr>
          <w:rFonts w:hint="eastAsia" w:ascii="宋体" w:hAnsi="宋体" w:cs="宋体"/>
          <w:color w:val="auto"/>
          <w:lang w:eastAsia="zh-CN"/>
        </w:rPr>
        <w:t>.1. 响应文件解密开始时间：2025年</w:t>
      </w:r>
      <w:r>
        <w:rPr>
          <w:rFonts w:hint="eastAsia" w:ascii="宋体" w:hAnsi="宋体" w:cs="宋体"/>
          <w:color w:val="auto"/>
          <w:lang w:val="en-US" w:eastAsia="zh-CN"/>
        </w:rPr>
        <w:t xml:space="preserve"> 7 </w:t>
      </w:r>
      <w:r>
        <w:rPr>
          <w:rFonts w:hint="eastAsia" w:ascii="宋体" w:hAnsi="宋体" w:cs="宋体"/>
          <w:color w:val="auto"/>
          <w:lang w:eastAsia="zh-CN"/>
        </w:rPr>
        <w:t>月</w:t>
      </w:r>
      <w:r>
        <w:rPr>
          <w:rFonts w:hint="eastAsia" w:ascii="宋体" w:hAnsi="宋体" w:cs="宋体"/>
          <w:color w:val="auto"/>
          <w:lang w:val="en-US" w:eastAsia="zh-CN"/>
        </w:rPr>
        <w:t xml:space="preserve"> 22 </w:t>
      </w:r>
      <w:r>
        <w:rPr>
          <w:rFonts w:hint="eastAsia" w:ascii="宋体" w:hAnsi="宋体" w:cs="宋体"/>
          <w:color w:val="auto"/>
          <w:lang w:eastAsia="zh-CN"/>
        </w:rPr>
        <w:t>日</w:t>
      </w:r>
      <w:r>
        <w:rPr>
          <w:rFonts w:hint="eastAsia" w:ascii="宋体" w:hAnsi="宋体" w:cs="宋体"/>
          <w:color w:val="auto"/>
          <w:lang w:val="en-US" w:eastAsia="zh-CN"/>
        </w:rPr>
        <w:t xml:space="preserve"> 9 </w:t>
      </w:r>
      <w:r>
        <w:rPr>
          <w:rFonts w:hint="eastAsia" w:ascii="宋体" w:hAnsi="宋体" w:cs="宋体"/>
          <w:color w:val="auto"/>
          <w:lang w:eastAsia="zh-CN"/>
        </w:rPr>
        <w:t>时</w:t>
      </w:r>
      <w:r>
        <w:rPr>
          <w:rFonts w:hint="eastAsia" w:ascii="宋体" w:hAnsi="宋体" w:cs="宋体"/>
          <w:color w:val="auto"/>
          <w:lang w:val="en-US" w:eastAsia="zh-CN"/>
        </w:rPr>
        <w:t>00</w:t>
      </w:r>
      <w:r>
        <w:rPr>
          <w:rFonts w:hint="eastAsia" w:ascii="宋体" w:hAnsi="宋体" w:cs="宋体"/>
          <w:color w:val="auto"/>
          <w:lang w:eastAsia="zh-CN"/>
        </w:rPr>
        <w:t>分；</w:t>
      </w:r>
    </w:p>
    <w:p w14:paraId="74ABD658">
      <w:pPr>
        <w:spacing w:line="360" w:lineRule="auto"/>
        <w:ind w:firstLine="420"/>
        <w:rPr>
          <w:rFonts w:hint="eastAsia" w:ascii="宋体" w:hAnsi="宋体" w:cs="宋体"/>
          <w:color w:val="auto"/>
          <w:lang w:eastAsia="zh-CN"/>
        </w:rPr>
      </w:pPr>
      <w:r>
        <w:rPr>
          <w:rFonts w:hint="eastAsia" w:ascii="宋体" w:hAnsi="宋体" w:cs="宋体"/>
          <w:color w:val="auto"/>
          <w:lang w:eastAsia="zh-CN"/>
        </w:rPr>
        <w:t>7.2 .响应文件解密截止时间：2025年</w:t>
      </w:r>
      <w:r>
        <w:rPr>
          <w:rFonts w:hint="eastAsia" w:ascii="宋体" w:hAnsi="宋体" w:cs="宋体"/>
          <w:color w:val="auto"/>
          <w:lang w:val="en-US" w:eastAsia="zh-CN"/>
        </w:rPr>
        <w:t xml:space="preserve"> 7 </w:t>
      </w:r>
      <w:r>
        <w:rPr>
          <w:rFonts w:hint="eastAsia" w:ascii="宋体" w:hAnsi="宋体" w:cs="宋体"/>
          <w:color w:val="auto"/>
          <w:lang w:eastAsia="zh-CN"/>
        </w:rPr>
        <w:t>月</w:t>
      </w:r>
      <w:r>
        <w:rPr>
          <w:rFonts w:hint="eastAsia" w:ascii="宋体" w:hAnsi="宋体" w:cs="宋体"/>
          <w:color w:val="auto"/>
          <w:lang w:val="en-US" w:eastAsia="zh-CN"/>
        </w:rPr>
        <w:t xml:space="preserve"> 22 </w:t>
      </w:r>
      <w:r>
        <w:rPr>
          <w:rFonts w:hint="eastAsia" w:ascii="宋体" w:hAnsi="宋体" w:cs="宋体"/>
          <w:color w:val="auto"/>
          <w:lang w:eastAsia="zh-CN"/>
        </w:rPr>
        <w:t>日</w:t>
      </w:r>
      <w:r>
        <w:rPr>
          <w:rFonts w:hint="eastAsia" w:ascii="宋体" w:hAnsi="宋体" w:cs="宋体"/>
          <w:color w:val="auto"/>
          <w:lang w:val="en-US" w:eastAsia="zh-CN"/>
        </w:rPr>
        <w:t xml:space="preserve"> 10 </w:t>
      </w:r>
      <w:r>
        <w:rPr>
          <w:rFonts w:hint="eastAsia" w:ascii="宋体" w:hAnsi="宋体" w:cs="宋体"/>
          <w:color w:val="auto"/>
          <w:lang w:eastAsia="zh-CN"/>
        </w:rPr>
        <w:t>时</w:t>
      </w:r>
      <w:r>
        <w:rPr>
          <w:rFonts w:hint="eastAsia" w:ascii="宋体" w:hAnsi="宋体" w:cs="宋体"/>
          <w:color w:val="auto"/>
          <w:lang w:val="en-US" w:eastAsia="zh-CN"/>
        </w:rPr>
        <w:t>00</w:t>
      </w:r>
      <w:r>
        <w:rPr>
          <w:rFonts w:hint="eastAsia" w:ascii="宋体" w:hAnsi="宋体" w:cs="宋体"/>
          <w:color w:val="auto"/>
          <w:lang w:eastAsia="zh-CN"/>
        </w:rPr>
        <w:t>分。</w:t>
      </w:r>
    </w:p>
    <w:p w14:paraId="21BFE12F">
      <w:pPr>
        <w:spacing w:line="360" w:lineRule="auto"/>
        <w:ind w:firstLine="420"/>
        <w:rPr>
          <w:rFonts w:hint="eastAsia" w:ascii="宋体" w:hAnsi="宋体" w:cs="宋体"/>
          <w:color w:val="auto"/>
          <w:lang w:eastAsia="zh-CN"/>
        </w:rPr>
      </w:pPr>
      <w:r>
        <w:rPr>
          <w:rFonts w:hint="eastAsia" w:ascii="宋体" w:hAnsi="宋体" w:cs="宋体"/>
          <w:color w:val="auto"/>
          <w:lang w:eastAsia="zh-CN"/>
        </w:rPr>
        <w:t>注：在规定的时间内未完成解密的响应文件视为无效。</w:t>
      </w:r>
    </w:p>
    <w:p w14:paraId="6ABEFFCF">
      <w:pPr>
        <w:spacing w:line="360" w:lineRule="auto"/>
        <w:ind w:firstLine="420"/>
        <w:rPr>
          <w:rFonts w:hint="eastAsia" w:ascii="宋体" w:hAnsi="宋体" w:cs="宋体"/>
          <w:color w:val="auto"/>
          <w:lang w:eastAsia="zh-CN"/>
        </w:rPr>
      </w:pPr>
      <w:r>
        <w:rPr>
          <w:rFonts w:hint="eastAsia" w:ascii="宋体" w:hAnsi="宋体" w:cs="宋体"/>
          <w:color w:val="auto"/>
          <w:lang w:eastAsia="zh-CN"/>
        </w:rPr>
        <w:t>7.3.电子投标（响应）文件网上递交流程：在投标（响应）文件递交截止时间前，使用CA锁登录后将已固化且加密的电子投标（响应）文件通过网上递交的方式在投标专区自行递交，并确保递交成功(为保证文件正常递交，请响应人错峰上传，详细操作可参阅交易平台办事服务-操作指南-投标阶段) 。</w:t>
      </w:r>
    </w:p>
    <w:p w14:paraId="5C304DDF">
      <w:pPr>
        <w:spacing w:line="360" w:lineRule="auto"/>
        <w:ind w:firstLine="420"/>
        <w:rPr>
          <w:rFonts w:hint="eastAsia" w:ascii="宋体" w:hAnsi="宋体" w:cs="宋体"/>
          <w:color w:val="auto"/>
          <w:lang w:eastAsia="zh-CN"/>
        </w:rPr>
      </w:pPr>
      <w:r>
        <w:rPr>
          <w:rFonts w:hint="eastAsia" w:ascii="宋体" w:hAnsi="宋体" w:cs="宋体"/>
          <w:color w:val="auto"/>
          <w:lang w:eastAsia="zh-CN"/>
        </w:rPr>
        <w:t>7.4.本项目实行不见面开评标，响应人不需再到达现场(需要现场演示或样品展示的除外)，请响应人通过互联网登录交易平台自助完成投标签到、响应性文件解密、二次报价及澄清答疑等操作，具体流程详见交易中心系统2019年12月31日发布的《关于实行全过程不见面交易的公告》附件“商丘市公共资源交易平台操作指南 2019-12-31版本”。</w:t>
      </w:r>
    </w:p>
    <w:p w14:paraId="3339DF47">
      <w:pPr>
        <w:spacing w:line="360" w:lineRule="auto"/>
        <w:ind w:firstLine="420"/>
        <w:rPr>
          <w:rFonts w:hint="eastAsia" w:ascii="宋体" w:hAnsi="宋体" w:cs="宋体"/>
          <w:color w:val="auto"/>
          <w:lang w:eastAsia="zh-CN"/>
        </w:rPr>
      </w:pPr>
      <w:r>
        <w:rPr>
          <w:rFonts w:hint="eastAsia" w:ascii="宋体" w:hAnsi="宋体" w:cs="宋体"/>
          <w:color w:val="auto"/>
          <w:lang w:eastAsia="zh-CN"/>
        </w:rPr>
        <w:t>7.5.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14:paraId="3F646E8C">
      <w:pPr>
        <w:spacing w:line="360" w:lineRule="auto"/>
        <w:ind w:firstLine="420"/>
        <w:rPr>
          <w:rFonts w:hint="eastAsia" w:ascii="宋体" w:hAnsi="宋体" w:cs="宋体"/>
          <w:color w:val="auto"/>
          <w:lang w:eastAsia="zh-CN"/>
        </w:rPr>
      </w:pPr>
      <w:r>
        <w:rPr>
          <w:rFonts w:hint="eastAsia" w:ascii="宋体" w:hAnsi="宋体" w:cs="宋体"/>
          <w:color w:val="auto"/>
          <w:lang w:eastAsia="zh-CN"/>
        </w:rPr>
        <w:t>本项目实行电子评标，全程取消纸质文件，电子响应文件逾期上传或没有上传的，采购人将拒绝接收。</w:t>
      </w:r>
    </w:p>
    <w:p w14:paraId="1D09BA49">
      <w:pPr>
        <w:spacing w:line="360" w:lineRule="auto"/>
        <w:outlineLvl w:val="1"/>
        <w:rPr>
          <w:rFonts w:ascii="宋体" w:hAnsi="宋体" w:cs="宋体"/>
          <w:b/>
          <w:bCs/>
          <w:color w:val="auto"/>
          <w:lang w:eastAsia="zh-CN"/>
        </w:rPr>
      </w:pPr>
      <w:r>
        <w:rPr>
          <w:rFonts w:hint="eastAsia" w:ascii="宋体" w:hAnsi="宋体" w:cs="宋体"/>
          <w:b/>
          <w:bCs/>
          <w:color w:val="auto"/>
          <w:lang w:eastAsia="zh-CN"/>
        </w:rPr>
        <w:t>八、凡对本次</w:t>
      </w:r>
      <w:r>
        <w:rPr>
          <w:rFonts w:hint="eastAsia" w:ascii="宋体" w:hAnsi="宋体" w:cs="宋体"/>
          <w:b/>
          <w:bCs/>
          <w:color w:val="auto"/>
          <w:lang w:val="en-US" w:eastAsia="zh-CN"/>
        </w:rPr>
        <w:t>采购</w:t>
      </w:r>
      <w:r>
        <w:rPr>
          <w:rFonts w:hint="eastAsia" w:ascii="宋体" w:hAnsi="宋体" w:cs="宋体"/>
          <w:b/>
          <w:bCs/>
          <w:color w:val="auto"/>
          <w:lang w:eastAsia="zh-CN"/>
        </w:rPr>
        <w:t>提出询问，请按照以下方式联系：</w:t>
      </w:r>
    </w:p>
    <w:p w14:paraId="1921A2AB">
      <w:pPr>
        <w:spacing w:line="360" w:lineRule="auto"/>
        <w:ind w:firstLine="420"/>
        <w:rPr>
          <w:rFonts w:hint="eastAsia" w:ascii="宋体" w:hAnsi="宋体" w:cs="宋体"/>
          <w:color w:val="auto"/>
          <w:lang w:eastAsia="zh-CN"/>
        </w:rPr>
      </w:pPr>
      <w:r>
        <w:rPr>
          <w:rFonts w:hint="eastAsia" w:ascii="宋体" w:hAnsi="宋体" w:cs="宋体"/>
          <w:color w:val="auto"/>
          <w:lang w:eastAsia="zh-CN"/>
        </w:rPr>
        <w:t>1.采购人信息</w:t>
      </w:r>
    </w:p>
    <w:p w14:paraId="514B2B7C">
      <w:pPr>
        <w:pStyle w:val="34"/>
        <w:overflowPunct w:val="0"/>
        <w:spacing w:line="360" w:lineRule="auto"/>
        <w:ind w:left="0" w:firstLine="420" w:firstLineChars="200"/>
        <w:rPr>
          <w:rFonts w:hint="eastAsia" w:ascii="宋体" w:hAnsi="宋体" w:eastAsia="宋体" w:cs="宋体"/>
          <w:sz w:val="22"/>
          <w:szCs w:val="22"/>
          <w:highlight w:val="none"/>
          <w:lang w:eastAsia="zh-CN"/>
        </w:rPr>
      </w:pPr>
      <w:bookmarkStart w:id="20" w:name="_Toc28359086"/>
      <w:bookmarkStart w:id="21" w:name="_Toc28359009"/>
      <w:r>
        <w:rPr>
          <w:rFonts w:hint="eastAsia" w:ascii="宋体" w:hAnsi="宋体" w:cs="宋体"/>
          <w:color w:val="auto"/>
          <w:lang w:eastAsia="zh-CN"/>
        </w:rPr>
        <w:t>名    称：</w:t>
      </w:r>
      <w:r>
        <w:rPr>
          <w:rFonts w:hint="eastAsia" w:ascii="宋体" w:hAnsi="宋体" w:eastAsia="宋体" w:cs="宋体"/>
          <w:sz w:val="22"/>
          <w:szCs w:val="22"/>
          <w:highlight w:val="none"/>
          <w:lang w:eastAsia="zh-CN"/>
        </w:rPr>
        <w:t>永城市中心医院</w:t>
      </w:r>
    </w:p>
    <w:p w14:paraId="22B88409">
      <w:pPr>
        <w:pStyle w:val="34"/>
        <w:overflowPunct w:val="0"/>
        <w:spacing w:line="360" w:lineRule="auto"/>
        <w:ind w:left="0" w:firstLine="420" w:firstLineChars="200"/>
        <w:rPr>
          <w:rFonts w:hint="eastAsia" w:ascii="宋体" w:hAnsi="宋体" w:cs="宋体"/>
          <w:color w:val="auto"/>
          <w:lang w:eastAsia="zh-CN"/>
        </w:rPr>
      </w:pPr>
      <w:r>
        <w:rPr>
          <w:rFonts w:hint="eastAsia" w:ascii="宋体" w:hAnsi="宋体" w:cs="宋体"/>
          <w:color w:val="auto"/>
          <w:lang w:eastAsia="zh-CN"/>
        </w:rPr>
        <w:t>地    址：</w:t>
      </w:r>
      <w:r>
        <w:rPr>
          <w:rFonts w:hint="eastAsia" w:ascii="宋体" w:hAnsi="宋体" w:eastAsia="宋体" w:cs="宋体"/>
          <w:sz w:val="22"/>
          <w:szCs w:val="22"/>
          <w:highlight w:val="none"/>
          <w:lang w:val="en-US" w:eastAsia="zh-CN"/>
        </w:rPr>
        <w:t>河南省永城市东城区中原路中段</w:t>
      </w:r>
    </w:p>
    <w:p w14:paraId="71B1449A">
      <w:pPr>
        <w:pStyle w:val="34"/>
        <w:overflowPunct w:val="0"/>
        <w:spacing w:line="360" w:lineRule="auto"/>
        <w:ind w:left="0" w:firstLine="420" w:firstLineChars="200"/>
        <w:rPr>
          <w:rFonts w:hint="default" w:ascii="宋体" w:hAnsi="宋体" w:eastAsia="宋体" w:cs="宋体"/>
          <w:sz w:val="22"/>
          <w:szCs w:val="22"/>
          <w:highlight w:val="none"/>
          <w:lang w:val="en-US" w:eastAsia="zh-CN"/>
        </w:rPr>
      </w:pPr>
      <w:r>
        <w:rPr>
          <w:rFonts w:hint="eastAsia" w:ascii="宋体" w:hAnsi="宋体" w:cs="宋体"/>
          <w:color w:val="auto"/>
          <w:lang w:eastAsia="zh-CN"/>
        </w:rPr>
        <w:t>联系人：</w:t>
      </w:r>
      <w:r>
        <w:rPr>
          <w:rFonts w:hint="eastAsia" w:ascii="宋体" w:hAnsi="宋体" w:eastAsia="宋体" w:cs="宋体"/>
          <w:sz w:val="22"/>
          <w:szCs w:val="22"/>
          <w:highlight w:val="none"/>
          <w:lang w:val="en-US" w:eastAsia="zh-CN"/>
        </w:rPr>
        <w:t>陈先生</w:t>
      </w:r>
    </w:p>
    <w:p w14:paraId="6B5F03A5">
      <w:pPr>
        <w:pStyle w:val="34"/>
        <w:overflowPunct w:val="0"/>
        <w:spacing w:line="360" w:lineRule="auto"/>
        <w:ind w:left="0" w:firstLine="420" w:firstLineChars="200"/>
        <w:rPr>
          <w:rFonts w:hint="default" w:ascii="宋体" w:hAnsi="宋体" w:eastAsia="宋体" w:cs="宋体"/>
          <w:sz w:val="22"/>
          <w:szCs w:val="22"/>
          <w:highlight w:val="none"/>
          <w:lang w:val="en-US" w:eastAsia="zh-CN"/>
        </w:rPr>
      </w:pPr>
      <w:r>
        <w:rPr>
          <w:rFonts w:hint="eastAsia" w:ascii="宋体" w:hAnsi="宋体" w:cs="宋体"/>
          <w:color w:val="auto"/>
          <w:lang w:eastAsia="zh-CN"/>
        </w:rPr>
        <w:t>联系方式：</w:t>
      </w:r>
      <w:r>
        <w:rPr>
          <w:rFonts w:hint="default" w:ascii="宋体" w:hAnsi="宋体" w:eastAsia="宋体" w:cs="宋体"/>
          <w:sz w:val="22"/>
          <w:szCs w:val="22"/>
          <w:highlight w:val="none"/>
          <w:lang w:val="en-US" w:eastAsia="zh-CN"/>
        </w:rPr>
        <w:t>18137091912</w:t>
      </w:r>
    </w:p>
    <w:p w14:paraId="22ABCAE8">
      <w:pPr>
        <w:spacing w:line="360" w:lineRule="auto"/>
        <w:ind w:firstLine="420"/>
        <w:rPr>
          <w:rFonts w:hint="eastAsia" w:ascii="宋体" w:hAnsi="宋体" w:cs="宋体"/>
          <w:color w:val="auto"/>
          <w:lang w:eastAsia="zh-CN"/>
        </w:rPr>
      </w:pPr>
      <w:r>
        <w:rPr>
          <w:rFonts w:hint="eastAsia" w:ascii="宋体" w:hAnsi="宋体" w:cs="宋体"/>
          <w:color w:val="auto"/>
          <w:lang w:eastAsia="zh-CN"/>
        </w:rPr>
        <w:t>2.采购代理机构信息</w:t>
      </w:r>
      <w:bookmarkEnd w:id="20"/>
      <w:bookmarkEnd w:id="21"/>
    </w:p>
    <w:p w14:paraId="14FF3D05">
      <w:pPr>
        <w:spacing w:line="360" w:lineRule="auto"/>
        <w:ind w:firstLine="420"/>
        <w:rPr>
          <w:rFonts w:hint="eastAsia" w:ascii="宋体" w:hAnsi="宋体" w:cs="宋体"/>
          <w:color w:val="auto"/>
          <w:lang w:eastAsia="zh-CN"/>
        </w:rPr>
      </w:pPr>
      <w:bookmarkStart w:id="22" w:name="_Toc28359010"/>
      <w:bookmarkStart w:id="23" w:name="_Toc28359087"/>
      <w:bookmarkStart w:id="24" w:name="_Toc20855"/>
      <w:r>
        <w:rPr>
          <w:rFonts w:hint="eastAsia" w:ascii="宋体" w:hAnsi="宋体" w:cs="宋体"/>
          <w:color w:val="auto"/>
          <w:lang w:eastAsia="zh-CN"/>
        </w:rPr>
        <w:t>名    称：永城市公共资源交易中心</w:t>
      </w:r>
    </w:p>
    <w:p w14:paraId="0DCF87A6">
      <w:pPr>
        <w:spacing w:line="360" w:lineRule="auto"/>
        <w:ind w:firstLine="420"/>
        <w:rPr>
          <w:rFonts w:hint="eastAsia" w:ascii="宋体" w:hAnsi="宋体" w:cs="宋体"/>
          <w:color w:val="auto"/>
          <w:lang w:eastAsia="zh-CN"/>
        </w:rPr>
      </w:pPr>
      <w:r>
        <w:rPr>
          <w:rFonts w:hint="eastAsia" w:ascii="宋体" w:hAnsi="宋体" w:cs="宋体"/>
          <w:color w:val="auto"/>
          <w:lang w:eastAsia="zh-CN"/>
        </w:rPr>
        <w:t>地    址：永城市产业集聚区浍河路28号</w:t>
      </w:r>
    </w:p>
    <w:p w14:paraId="6F224F47">
      <w:pPr>
        <w:spacing w:line="360" w:lineRule="auto"/>
        <w:ind w:firstLine="420"/>
        <w:rPr>
          <w:rFonts w:hint="default" w:ascii="宋体" w:hAnsi="宋体" w:cs="宋体"/>
          <w:color w:val="auto"/>
          <w:lang w:val="en-US" w:eastAsia="zh-CN"/>
        </w:rPr>
      </w:pPr>
      <w:r>
        <w:rPr>
          <w:rFonts w:hint="eastAsia" w:ascii="宋体" w:hAnsi="宋体" w:cs="宋体"/>
          <w:color w:val="auto"/>
          <w:lang w:eastAsia="zh-CN"/>
        </w:rPr>
        <w:t>联系人：</w:t>
      </w:r>
      <w:r>
        <w:rPr>
          <w:rFonts w:hint="eastAsia" w:ascii="宋体" w:hAnsi="宋体" w:cs="宋体"/>
          <w:color w:val="auto"/>
          <w:lang w:val="en-US" w:eastAsia="zh-CN"/>
        </w:rPr>
        <w:t>刘女士  王女士</w:t>
      </w:r>
    </w:p>
    <w:p w14:paraId="78228B65">
      <w:pPr>
        <w:spacing w:line="360" w:lineRule="auto"/>
        <w:ind w:firstLine="420"/>
        <w:rPr>
          <w:rFonts w:hint="eastAsia" w:ascii="宋体" w:hAnsi="宋体" w:cs="宋体"/>
          <w:color w:val="auto"/>
          <w:lang w:eastAsia="zh-CN"/>
        </w:rPr>
      </w:pPr>
      <w:r>
        <w:rPr>
          <w:rFonts w:hint="eastAsia" w:ascii="宋体" w:hAnsi="宋体" w:cs="宋体"/>
          <w:color w:val="auto"/>
          <w:lang w:eastAsia="zh-CN"/>
        </w:rPr>
        <w:t>联系方式：0370-5019910</w:t>
      </w:r>
    </w:p>
    <w:p w14:paraId="0656181D">
      <w:pPr>
        <w:spacing w:line="360" w:lineRule="auto"/>
        <w:ind w:firstLine="420"/>
        <w:rPr>
          <w:rFonts w:hint="eastAsia" w:ascii="宋体" w:hAnsi="宋体" w:cs="宋体"/>
          <w:color w:val="auto"/>
          <w:lang w:eastAsia="zh-CN"/>
        </w:rPr>
      </w:pPr>
      <w:r>
        <w:rPr>
          <w:rFonts w:hint="eastAsia" w:ascii="宋体" w:hAnsi="宋体" w:cs="宋体"/>
          <w:color w:val="auto"/>
          <w:lang w:val="en-US" w:eastAsia="zh-CN"/>
        </w:rPr>
        <w:t>3.</w:t>
      </w:r>
      <w:r>
        <w:rPr>
          <w:rFonts w:hint="eastAsia" w:ascii="宋体" w:hAnsi="宋体" w:cs="宋体"/>
          <w:color w:val="auto"/>
          <w:lang w:eastAsia="zh-CN"/>
        </w:rPr>
        <w:t>项目联系方式</w:t>
      </w:r>
    </w:p>
    <w:p w14:paraId="4045B4FE">
      <w:pPr>
        <w:spacing w:line="360" w:lineRule="auto"/>
        <w:ind w:firstLine="420"/>
        <w:rPr>
          <w:rFonts w:hint="eastAsia" w:ascii="宋体" w:hAnsi="宋体" w:eastAsia="宋体" w:cs="宋体"/>
          <w:sz w:val="22"/>
          <w:szCs w:val="22"/>
          <w:highlight w:val="none"/>
          <w:lang w:val="en-US" w:eastAsia="zh-CN"/>
        </w:rPr>
      </w:pPr>
      <w:r>
        <w:rPr>
          <w:rFonts w:hint="eastAsia" w:ascii="宋体" w:hAnsi="宋体" w:cs="宋体"/>
          <w:color w:val="auto"/>
          <w:lang w:eastAsia="zh-CN"/>
        </w:rPr>
        <w:t>联系人：</w:t>
      </w:r>
      <w:r>
        <w:rPr>
          <w:rFonts w:hint="eastAsia" w:ascii="宋体" w:hAnsi="宋体" w:eastAsia="宋体" w:cs="宋体"/>
          <w:sz w:val="22"/>
          <w:szCs w:val="22"/>
          <w:highlight w:val="none"/>
          <w:lang w:val="en-US" w:eastAsia="zh-CN"/>
        </w:rPr>
        <w:t>陈先生</w:t>
      </w:r>
    </w:p>
    <w:p w14:paraId="0132B49A">
      <w:pPr>
        <w:pStyle w:val="34"/>
        <w:overflowPunct w:val="0"/>
        <w:spacing w:line="360" w:lineRule="auto"/>
        <w:ind w:left="0" w:firstLine="420" w:firstLineChars="200"/>
        <w:rPr>
          <w:rFonts w:hint="default" w:ascii="宋体" w:hAnsi="宋体" w:eastAsia="宋体" w:cs="宋体"/>
          <w:sz w:val="22"/>
          <w:szCs w:val="22"/>
          <w:highlight w:val="none"/>
          <w:lang w:val="en-US" w:eastAsia="zh-CN"/>
        </w:rPr>
      </w:pPr>
      <w:r>
        <w:rPr>
          <w:rFonts w:hint="eastAsia" w:ascii="宋体" w:hAnsi="宋体" w:cs="宋体"/>
          <w:color w:val="auto"/>
          <w:lang w:eastAsia="zh-CN"/>
        </w:rPr>
        <w:t>联系方式：</w:t>
      </w:r>
      <w:r>
        <w:rPr>
          <w:rFonts w:hint="default" w:ascii="宋体" w:hAnsi="宋体" w:eastAsia="宋体" w:cs="宋体"/>
          <w:sz w:val="22"/>
          <w:szCs w:val="22"/>
          <w:highlight w:val="none"/>
          <w:lang w:val="en-US" w:eastAsia="zh-CN"/>
        </w:rPr>
        <w:t>18137091912</w:t>
      </w:r>
    </w:p>
    <w:p w14:paraId="467DCB40">
      <w:pPr>
        <w:spacing w:line="360" w:lineRule="auto"/>
        <w:ind w:firstLine="5040" w:firstLineChars="2400"/>
        <w:rPr>
          <w:rFonts w:hint="eastAsia" w:ascii="宋体" w:hAnsi="宋体" w:cs="宋体"/>
          <w:color w:val="auto"/>
          <w:lang w:val="en-US" w:eastAsia="zh-CN"/>
        </w:rPr>
      </w:pPr>
    </w:p>
    <w:p w14:paraId="7729A67A">
      <w:pPr>
        <w:spacing w:line="360" w:lineRule="auto"/>
        <w:ind w:firstLine="5040" w:firstLineChars="2400"/>
        <w:rPr>
          <w:rFonts w:hint="eastAsia" w:ascii="宋体" w:hAnsi="宋体" w:cs="宋体"/>
          <w:color w:val="auto"/>
          <w:lang w:val="en-US" w:eastAsia="zh-CN"/>
        </w:rPr>
      </w:pPr>
    </w:p>
    <w:p w14:paraId="1969436E">
      <w:pPr>
        <w:spacing w:line="360" w:lineRule="auto"/>
        <w:ind w:firstLine="7980" w:firstLineChars="3800"/>
        <w:rPr>
          <w:rFonts w:hint="eastAsia" w:ascii="宋体" w:hAnsi="宋体" w:cs="宋体"/>
          <w:color w:val="auto"/>
          <w:lang w:val="en-US" w:eastAsia="zh-CN"/>
        </w:rPr>
      </w:pPr>
    </w:p>
    <w:p w14:paraId="7723E542">
      <w:pPr>
        <w:spacing w:line="360" w:lineRule="auto"/>
        <w:ind w:firstLine="7980" w:firstLineChars="3800"/>
        <w:rPr>
          <w:rFonts w:hint="eastAsia" w:ascii="宋体" w:hAnsi="宋体" w:cs="宋体"/>
          <w:color w:val="auto"/>
          <w:lang w:val="en-US" w:eastAsia="zh-CN"/>
        </w:rPr>
      </w:pPr>
    </w:p>
    <w:p w14:paraId="62EE4F79">
      <w:pPr>
        <w:spacing w:line="360" w:lineRule="auto"/>
        <w:ind w:firstLine="7980" w:firstLineChars="3800"/>
        <w:rPr>
          <w:rFonts w:hint="eastAsia" w:ascii="宋体" w:hAnsi="宋体" w:cs="宋体"/>
          <w:color w:val="auto"/>
          <w:lang w:val="en-US" w:eastAsia="zh-CN"/>
        </w:rPr>
      </w:pPr>
    </w:p>
    <w:p w14:paraId="2E4C52E5">
      <w:pPr>
        <w:spacing w:line="360" w:lineRule="auto"/>
        <w:ind w:firstLine="7980" w:firstLineChars="3800"/>
        <w:rPr>
          <w:rFonts w:hint="eastAsia" w:ascii="宋体" w:hAnsi="宋体" w:cs="宋体"/>
          <w:color w:val="auto"/>
          <w:lang w:val="en-US" w:eastAsia="zh-CN"/>
        </w:rPr>
      </w:pPr>
    </w:p>
    <w:p w14:paraId="1C8A457A">
      <w:pPr>
        <w:spacing w:line="360" w:lineRule="auto"/>
        <w:ind w:firstLine="7980" w:firstLineChars="3800"/>
        <w:rPr>
          <w:rFonts w:hint="eastAsia" w:ascii="宋体" w:hAnsi="宋体" w:cs="宋体"/>
          <w:color w:val="auto"/>
          <w:lang w:val="en-US" w:eastAsia="zh-CN"/>
        </w:rPr>
      </w:pPr>
    </w:p>
    <w:p w14:paraId="02854E17">
      <w:pPr>
        <w:spacing w:line="360" w:lineRule="auto"/>
        <w:ind w:firstLine="7980" w:firstLineChars="3800"/>
        <w:rPr>
          <w:rFonts w:ascii="宋体" w:hAnsi="宋体" w:cs="宋体"/>
          <w:color w:val="auto"/>
          <w:lang w:eastAsia="zh-CN"/>
        </w:rPr>
      </w:pPr>
      <w:r>
        <w:rPr>
          <w:rFonts w:hint="eastAsia" w:ascii="宋体" w:hAnsi="宋体" w:cs="宋体"/>
          <w:color w:val="auto"/>
          <w:lang w:val="en-US" w:eastAsia="zh-CN"/>
        </w:rPr>
        <w:t>2025年 7 月 9 日</w:t>
      </w:r>
      <w:r>
        <w:rPr>
          <w:rFonts w:hint="eastAsia" w:ascii="宋体" w:hAnsi="宋体" w:cs="宋体"/>
          <w:color w:val="auto"/>
          <w:lang w:eastAsia="zh-CN"/>
        </w:rPr>
        <w:br w:type="page"/>
      </w:r>
      <w:bookmarkEnd w:id="22"/>
      <w:bookmarkEnd w:id="23"/>
      <w:bookmarkEnd w:id="24"/>
    </w:p>
    <w:bookmarkEnd w:id="9"/>
    <w:p w14:paraId="333C125B">
      <w:pPr>
        <w:spacing w:line="360" w:lineRule="auto"/>
        <w:jc w:val="center"/>
        <w:outlineLvl w:val="0"/>
        <w:rPr>
          <w:rFonts w:ascii="宋体" w:hAnsi="宋体" w:cs="宋体"/>
          <w:b/>
          <w:color w:val="auto"/>
          <w:sz w:val="32"/>
          <w:lang w:eastAsia="zh-CN"/>
        </w:rPr>
      </w:pPr>
      <w:bookmarkStart w:id="25" w:name="_Toc8890"/>
      <w:bookmarkStart w:id="26" w:name="_Toc21913"/>
      <w:bookmarkStart w:id="27" w:name="_Toc3083"/>
      <w:r>
        <w:rPr>
          <w:rStyle w:val="29"/>
          <w:rFonts w:hint="eastAsia"/>
          <w:color w:val="auto"/>
          <w:lang w:eastAsia="zh-CN"/>
        </w:rPr>
        <w:t>第二章</w:t>
      </w:r>
      <w:r>
        <w:rPr>
          <w:rStyle w:val="29"/>
          <w:rFonts w:hint="eastAsia"/>
          <w:color w:val="auto"/>
          <w:lang w:val="en-US" w:eastAsia="zh-CN"/>
        </w:rPr>
        <w:t xml:space="preserve"> </w:t>
      </w:r>
      <w:r>
        <w:rPr>
          <w:rStyle w:val="29"/>
          <w:rFonts w:hint="eastAsia"/>
          <w:color w:val="auto"/>
          <w:lang w:eastAsia="zh-CN"/>
        </w:rPr>
        <w:t xml:space="preserve"> 供应商须知</w:t>
      </w:r>
      <w:bookmarkEnd w:id="10"/>
      <w:bookmarkEnd w:id="11"/>
      <w:bookmarkEnd w:id="12"/>
      <w:bookmarkEnd w:id="25"/>
      <w:bookmarkEnd w:id="26"/>
      <w:bookmarkEnd w:id="27"/>
    </w:p>
    <w:p w14:paraId="10350FC4">
      <w:pPr>
        <w:pStyle w:val="33"/>
        <w:ind w:firstLine="3082" w:firstLineChars="1100"/>
        <w:outlineLvl w:val="9"/>
        <w:rPr>
          <w:rFonts w:ascii="宋体" w:hAnsi="宋体"/>
          <w:b/>
          <w:bCs/>
          <w:color w:val="auto"/>
        </w:rPr>
      </w:pPr>
      <w:bookmarkStart w:id="28" w:name="_Toc152045528"/>
      <w:bookmarkStart w:id="29" w:name="_Toc152042304"/>
      <w:bookmarkStart w:id="30" w:name="_Toc471"/>
      <w:bookmarkStart w:id="31" w:name="_Toc455080107"/>
      <w:bookmarkStart w:id="32" w:name="_Toc29693"/>
      <w:bookmarkStart w:id="33" w:name="_Toc28416"/>
      <w:bookmarkStart w:id="34" w:name="_Toc27072"/>
      <w:bookmarkStart w:id="35" w:name="_Toc466298090"/>
      <w:bookmarkStart w:id="36" w:name="_Toc144974496"/>
      <w:r>
        <w:rPr>
          <w:rFonts w:hint="eastAsia" w:ascii="宋体" w:hAnsi="宋体"/>
          <w:b/>
          <w:bCs/>
          <w:color w:val="auto"/>
        </w:rPr>
        <w:t>供应商须知前附表</w:t>
      </w:r>
      <w:bookmarkEnd w:id="28"/>
      <w:bookmarkEnd w:id="29"/>
      <w:bookmarkEnd w:id="30"/>
      <w:bookmarkEnd w:id="31"/>
      <w:bookmarkEnd w:id="32"/>
      <w:bookmarkEnd w:id="33"/>
      <w:bookmarkEnd w:id="34"/>
      <w:bookmarkEnd w:id="35"/>
      <w:bookmarkEnd w:id="36"/>
    </w:p>
    <w:tbl>
      <w:tblPr>
        <w:tblStyle w:val="24"/>
        <w:tblW w:w="9292" w:type="dxa"/>
        <w:jc w:val="center"/>
        <w:tblLayout w:type="fixed"/>
        <w:tblCellMar>
          <w:top w:w="0" w:type="dxa"/>
          <w:left w:w="108" w:type="dxa"/>
          <w:bottom w:w="0" w:type="dxa"/>
          <w:right w:w="108" w:type="dxa"/>
        </w:tblCellMar>
      </w:tblPr>
      <w:tblGrid>
        <w:gridCol w:w="1085"/>
        <w:gridCol w:w="2255"/>
        <w:gridCol w:w="5952"/>
      </w:tblGrid>
      <w:tr w14:paraId="47798E00">
        <w:tblPrEx>
          <w:tblCellMar>
            <w:top w:w="0" w:type="dxa"/>
            <w:left w:w="108" w:type="dxa"/>
            <w:bottom w:w="0" w:type="dxa"/>
            <w:right w:w="108" w:type="dxa"/>
          </w:tblCellMar>
        </w:tblPrEx>
        <w:trPr>
          <w:trHeight w:val="3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6ABF315">
            <w:pPr>
              <w:kinsoku/>
              <w:spacing w:line="400" w:lineRule="exact"/>
              <w:jc w:val="center"/>
              <w:rPr>
                <w:rFonts w:ascii="宋体" w:hAnsi="宋体" w:cs="宋体"/>
                <w:color w:val="auto"/>
              </w:rPr>
            </w:pPr>
            <w:r>
              <w:rPr>
                <w:rFonts w:hint="eastAsia" w:ascii="宋体" w:hAnsi="宋体" w:cs="宋体"/>
                <w:color w:val="auto"/>
              </w:rPr>
              <w:t>条款号</w:t>
            </w:r>
          </w:p>
        </w:tc>
        <w:tc>
          <w:tcPr>
            <w:tcW w:w="2255" w:type="dxa"/>
            <w:tcBorders>
              <w:top w:val="single" w:color="auto" w:sz="4" w:space="0"/>
              <w:left w:val="single" w:color="auto" w:sz="4" w:space="0"/>
              <w:bottom w:val="single" w:color="auto" w:sz="4" w:space="0"/>
              <w:right w:val="single" w:color="auto" w:sz="4" w:space="0"/>
            </w:tcBorders>
            <w:vAlign w:val="center"/>
          </w:tcPr>
          <w:p w14:paraId="0940C350">
            <w:pPr>
              <w:kinsoku/>
              <w:spacing w:line="400" w:lineRule="exact"/>
              <w:jc w:val="center"/>
              <w:rPr>
                <w:rFonts w:ascii="宋体" w:hAnsi="宋体" w:cs="宋体"/>
                <w:color w:val="auto"/>
              </w:rPr>
            </w:pPr>
            <w:r>
              <w:rPr>
                <w:rFonts w:hint="eastAsia" w:ascii="宋体" w:hAnsi="宋体" w:cs="宋体"/>
                <w:color w:val="auto"/>
              </w:rPr>
              <w:t>条款名称</w:t>
            </w:r>
          </w:p>
        </w:tc>
        <w:tc>
          <w:tcPr>
            <w:tcW w:w="5952" w:type="dxa"/>
            <w:tcBorders>
              <w:top w:val="single" w:color="auto" w:sz="4" w:space="0"/>
              <w:left w:val="single" w:color="auto" w:sz="4" w:space="0"/>
              <w:bottom w:val="single" w:color="auto" w:sz="4" w:space="0"/>
              <w:right w:val="single" w:color="auto" w:sz="4" w:space="0"/>
            </w:tcBorders>
            <w:vAlign w:val="center"/>
          </w:tcPr>
          <w:p w14:paraId="54ABB218">
            <w:pPr>
              <w:kinsoku/>
              <w:spacing w:line="400" w:lineRule="exact"/>
              <w:jc w:val="center"/>
              <w:rPr>
                <w:rFonts w:ascii="宋体" w:hAnsi="宋体" w:cs="宋体"/>
                <w:color w:val="auto"/>
              </w:rPr>
            </w:pPr>
            <w:r>
              <w:rPr>
                <w:rFonts w:hint="eastAsia" w:ascii="宋体" w:hAnsi="宋体" w:cs="宋体"/>
                <w:color w:val="auto"/>
              </w:rPr>
              <w:t>编列内容</w:t>
            </w:r>
          </w:p>
        </w:tc>
      </w:tr>
      <w:tr w14:paraId="566B32BD">
        <w:tblPrEx>
          <w:tblCellMar>
            <w:top w:w="0" w:type="dxa"/>
            <w:left w:w="108" w:type="dxa"/>
            <w:bottom w:w="0" w:type="dxa"/>
            <w:right w:w="108" w:type="dxa"/>
          </w:tblCellMar>
        </w:tblPrEx>
        <w:trPr>
          <w:trHeight w:val="175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C6A0A06">
            <w:pPr>
              <w:kinsoku/>
              <w:spacing w:line="400" w:lineRule="exact"/>
              <w:jc w:val="center"/>
              <w:rPr>
                <w:rFonts w:ascii="宋体" w:hAnsi="宋体" w:cs="宋体"/>
                <w:color w:val="auto"/>
              </w:rPr>
            </w:pPr>
            <w:r>
              <w:rPr>
                <w:rFonts w:hint="eastAsia" w:ascii="宋体" w:hAnsi="宋体" w:cs="宋体"/>
                <w:color w:val="auto"/>
              </w:rPr>
              <w:t>1.2.1</w:t>
            </w:r>
          </w:p>
        </w:tc>
        <w:tc>
          <w:tcPr>
            <w:tcW w:w="2255" w:type="dxa"/>
            <w:tcBorders>
              <w:top w:val="single" w:color="auto" w:sz="4" w:space="0"/>
              <w:left w:val="single" w:color="auto" w:sz="4" w:space="0"/>
              <w:bottom w:val="single" w:color="auto" w:sz="4" w:space="0"/>
              <w:right w:val="single" w:color="auto" w:sz="4" w:space="0"/>
            </w:tcBorders>
            <w:vAlign w:val="center"/>
          </w:tcPr>
          <w:p w14:paraId="355BB07C">
            <w:pPr>
              <w:kinsoku/>
              <w:spacing w:line="400" w:lineRule="exact"/>
              <w:jc w:val="center"/>
              <w:rPr>
                <w:rFonts w:ascii="宋体" w:hAnsi="宋体" w:cs="宋体"/>
                <w:color w:val="auto"/>
              </w:rPr>
            </w:pPr>
            <w:r>
              <w:rPr>
                <w:rFonts w:hint="eastAsia" w:ascii="宋体" w:hAnsi="宋体" w:cs="宋体"/>
                <w:color w:val="auto"/>
              </w:rPr>
              <w:t>采购人</w:t>
            </w:r>
          </w:p>
        </w:tc>
        <w:tc>
          <w:tcPr>
            <w:tcW w:w="5952" w:type="dxa"/>
            <w:tcBorders>
              <w:top w:val="single" w:color="auto" w:sz="4" w:space="0"/>
              <w:left w:val="single" w:color="auto" w:sz="4" w:space="0"/>
              <w:bottom w:val="single" w:color="auto" w:sz="4" w:space="0"/>
              <w:right w:val="single" w:color="auto" w:sz="4" w:space="0"/>
            </w:tcBorders>
            <w:vAlign w:val="center"/>
          </w:tcPr>
          <w:p w14:paraId="0D653BCE">
            <w:pPr>
              <w:pStyle w:val="34"/>
              <w:overflowPunct w:val="0"/>
              <w:spacing w:line="360" w:lineRule="auto"/>
              <w:ind w:left="0" w:leftChars="0" w:firstLine="0" w:firstLineChars="0"/>
              <w:rPr>
                <w:rFonts w:hint="eastAsia" w:ascii="宋体" w:hAnsi="宋体" w:eastAsia="宋体" w:cs="宋体"/>
                <w:sz w:val="22"/>
                <w:szCs w:val="22"/>
                <w:highlight w:val="none"/>
                <w:lang w:eastAsia="zh-CN"/>
              </w:rPr>
            </w:pPr>
            <w:r>
              <w:rPr>
                <w:rFonts w:hint="eastAsia" w:ascii="宋体" w:hAnsi="宋体" w:cs="宋体"/>
                <w:color w:val="auto"/>
                <w:lang w:eastAsia="zh-CN"/>
              </w:rPr>
              <w:t>名    称：</w:t>
            </w:r>
            <w:r>
              <w:rPr>
                <w:rFonts w:hint="eastAsia" w:ascii="宋体" w:hAnsi="宋体" w:eastAsia="宋体" w:cs="宋体"/>
                <w:sz w:val="22"/>
                <w:szCs w:val="22"/>
                <w:highlight w:val="none"/>
                <w:lang w:eastAsia="zh-CN"/>
              </w:rPr>
              <w:t>永城市中心医院</w:t>
            </w:r>
          </w:p>
          <w:p w14:paraId="747A3591">
            <w:pPr>
              <w:pStyle w:val="34"/>
              <w:overflowPunct w:val="0"/>
              <w:spacing w:line="360" w:lineRule="auto"/>
              <w:ind w:left="0" w:leftChars="0" w:firstLine="0" w:firstLineChars="0"/>
              <w:rPr>
                <w:rFonts w:hint="eastAsia" w:ascii="宋体" w:hAnsi="宋体" w:eastAsia="宋体" w:cs="宋体"/>
                <w:sz w:val="22"/>
                <w:szCs w:val="22"/>
                <w:highlight w:val="none"/>
                <w:lang w:val="en-US" w:eastAsia="zh-CN"/>
              </w:rPr>
            </w:pPr>
            <w:r>
              <w:rPr>
                <w:rFonts w:hint="eastAsia" w:ascii="宋体" w:hAnsi="宋体" w:cs="宋体"/>
                <w:color w:val="auto"/>
                <w:lang w:eastAsia="zh-CN"/>
              </w:rPr>
              <w:t>地    址：</w:t>
            </w:r>
            <w:r>
              <w:rPr>
                <w:rFonts w:hint="eastAsia" w:ascii="宋体" w:hAnsi="宋体" w:eastAsia="宋体" w:cs="宋体"/>
                <w:sz w:val="22"/>
                <w:szCs w:val="22"/>
                <w:highlight w:val="none"/>
                <w:lang w:val="en-US" w:eastAsia="zh-CN"/>
              </w:rPr>
              <w:t>河南省永城市东城区中原路中段</w:t>
            </w:r>
          </w:p>
          <w:p w14:paraId="52CD3C6B">
            <w:pPr>
              <w:kinsoku/>
              <w:spacing w:line="400" w:lineRule="exact"/>
              <w:rPr>
                <w:rFonts w:hint="eastAsia" w:ascii="宋体" w:hAnsi="宋体" w:eastAsia="宋体" w:cs="宋体"/>
                <w:sz w:val="22"/>
                <w:szCs w:val="22"/>
                <w:highlight w:val="none"/>
                <w:lang w:val="en-US" w:eastAsia="zh-CN"/>
              </w:rPr>
            </w:pPr>
            <w:r>
              <w:rPr>
                <w:rFonts w:hint="eastAsia" w:ascii="宋体" w:hAnsi="宋体" w:cs="宋体"/>
                <w:color w:val="auto"/>
                <w:lang w:eastAsia="zh-CN"/>
              </w:rPr>
              <w:t>联系人：</w:t>
            </w:r>
            <w:r>
              <w:rPr>
                <w:rFonts w:hint="eastAsia" w:ascii="宋体" w:hAnsi="宋体" w:eastAsia="宋体" w:cs="宋体"/>
                <w:sz w:val="22"/>
                <w:szCs w:val="22"/>
                <w:highlight w:val="none"/>
                <w:lang w:val="en-US" w:eastAsia="zh-CN"/>
              </w:rPr>
              <w:t>陈先生</w:t>
            </w:r>
          </w:p>
          <w:p w14:paraId="73FB37B4">
            <w:pPr>
              <w:kinsoku/>
              <w:spacing w:line="400" w:lineRule="exact"/>
              <w:rPr>
                <w:rFonts w:hint="default" w:ascii="宋体" w:hAnsi="宋体" w:eastAsia="宋体" w:cs="宋体"/>
                <w:sz w:val="22"/>
                <w:szCs w:val="22"/>
                <w:highlight w:val="none"/>
                <w:lang w:val="en-US" w:eastAsia="zh-CN"/>
              </w:rPr>
            </w:pPr>
            <w:r>
              <w:rPr>
                <w:rFonts w:hint="eastAsia" w:ascii="宋体" w:hAnsi="宋体" w:cs="宋体"/>
                <w:color w:val="auto"/>
                <w:lang w:eastAsia="zh-CN"/>
              </w:rPr>
              <w:t>联系方式：</w:t>
            </w:r>
            <w:r>
              <w:rPr>
                <w:rFonts w:hint="default" w:ascii="宋体" w:hAnsi="宋体" w:eastAsia="宋体" w:cs="宋体"/>
                <w:sz w:val="22"/>
                <w:szCs w:val="22"/>
                <w:highlight w:val="none"/>
                <w:lang w:val="en-US" w:eastAsia="zh-CN"/>
              </w:rPr>
              <w:t>18137091912</w:t>
            </w:r>
          </w:p>
          <w:p w14:paraId="5E85C7BC">
            <w:pPr>
              <w:kinsoku/>
              <w:spacing w:line="400" w:lineRule="exact"/>
              <w:rPr>
                <w:rFonts w:ascii="宋体" w:hAnsi="宋体" w:cs="宋体" w:eastAsiaTheme="minorEastAsia"/>
                <w:color w:val="auto"/>
                <w:lang w:eastAsia="zh-CN"/>
              </w:rPr>
            </w:pPr>
          </w:p>
        </w:tc>
      </w:tr>
      <w:tr w14:paraId="2C875D43">
        <w:tblPrEx>
          <w:tblCellMar>
            <w:top w:w="0" w:type="dxa"/>
            <w:left w:w="108" w:type="dxa"/>
            <w:bottom w:w="0" w:type="dxa"/>
            <w:right w:w="108" w:type="dxa"/>
          </w:tblCellMar>
        </w:tblPrEx>
        <w:trPr>
          <w:trHeight w:val="176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184C5682">
            <w:pPr>
              <w:kinsoku/>
              <w:spacing w:line="400" w:lineRule="exact"/>
              <w:jc w:val="center"/>
              <w:rPr>
                <w:rFonts w:ascii="宋体" w:hAnsi="宋体" w:cs="宋体"/>
                <w:color w:val="auto"/>
              </w:rPr>
            </w:pPr>
            <w:r>
              <w:rPr>
                <w:rFonts w:hint="eastAsia" w:ascii="宋体" w:hAnsi="宋体" w:cs="宋体"/>
                <w:color w:val="auto"/>
              </w:rPr>
              <w:t>1.2.2</w:t>
            </w:r>
          </w:p>
        </w:tc>
        <w:tc>
          <w:tcPr>
            <w:tcW w:w="2255" w:type="dxa"/>
            <w:tcBorders>
              <w:top w:val="single" w:color="auto" w:sz="4" w:space="0"/>
              <w:left w:val="single" w:color="auto" w:sz="4" w:space="0"/>
              <w:bottom w:val="single" w:color="auto" w:sz="4" w:space="0"/>
              <w:right w:val="single" w:color="auto" w:sz="4" w:space="0"/>
            </w:tcBorders>
            <w:vAlign w:val="center"/>
          </w:tcPr>
          <w:p w14:paraId="626C3A0F">
            <w:pPr>
              <w:kinsoku/>
              <w:spacing w:line="400" w:lineRule="exact"/>
              <w:jc w:val="center"/>
              <w:rPr>
                <w:rFonts w:ascii="宋体" w:hAnsi="宋体" w:cs="宋体"/>
                <w:color w:val="auto"/>
              </w:rPr>
            </w:pPr>
            <w:r>
              <w:rPr>
                <w:rFonts w:hint="eastAsia" w:ascii="宋体" w:hAnsi="宋体" w:cs="宋体"/>
                <w:color w:val="auto"/>
              </w:rPr>
              <w:t>采购代理机构</w:t>
            </w:r>
          </w:p>
        </w:tc>
        <w:tc>
          <w:tcPr>
            <w:tcW w:w="5952" w:type="dxa"/>
            <w:tcBorders>
              <w:top w:val="single" w:color="auto" w:sz="4" w:space="0"/>
              <w:left w:val="single" w:color="auto" w:sz="4" w:space="0"/>
              <w:bottom w:val="single" w:color="auto" w:sz="4" w:space="0"/>
              <w:right w:val="single" w:color="auto" w:sz="4" w:space="0"/>
            </w:tcBorders>
            <w:vAlign w:val="center"/>
          </w:tcPr>
          <w:p w14:paraId="1BC82D01">
            <w:pPr>
              <w:kinsoku/>
              <w:spacing w:line="400" w:lineRule="exact"/>
              <w:rPr>
                <w:rFonts w:ascii="宋体" w:hAnsi="宋体" w:cs="宋体"/>
                <w:color w:val="auto"/>
                <w:lang w:eastAsia="zh-CN"/>
              </w:rPr>
            </w:pPr>
            <w:r>
              <w:rPr>
                <w:rFonts w:hint="eastAsia" w:ascii="宋体" w:hAnsi="宋体" w:cs="宋体"/>
                <w:color w:val="auto"/>
                <w:lang w:eastAsia="zh-CN"/>
              </w:rPr>
              <w:t>名    称：永城市公共资源交易中心</w:t>
            </w:r>
          </w:p>
          <w:p w14:paraId="6D023ABA">
            <w:pPr>
              <w:kinsoku/>
              <w:spacing w:line="400" w:lineRule="exact"/>
              <w:rPr>
                <w:rFonts w:hint="eastAsia" w:ascii="宋体" w:hAnsi="宋体" w:cs="宋体"/>
                <w:color w:val="auto"/>
                <w:lang w:eastAsia="zh-CN"/>
              </w:rPr>
            </w:pPr>
            <w:r>
              <w:rPr>
                <w:rFonts w:hint="eastAsia" w:ascii="宋体" w:hAnsi="宋体" w:cs="宋体"/>
                <w:color w:val="auto"/>
                <w:lang w:eastAsia="zh-CN"/>
              </w:rPr>
              <w:t>地    址：永城市产业集聚区浍河路28号</w:t>
            </w:r>
          </w:p>
          <w:p w14:paraId="74E18569">
            <w:pPr>
              <w:kinsoku/>
              <w:spacing w:line="400" w:lineRule="exact"/>
              <w:rPr>
                <w:rFonts w:hint="default" w:ascii="宋体" w:hAnsi="宋体" w:cs="宋体"/>
                <w:color w:val="auto"/>
                <w:lang w:val="en-US" w:eastAsia="zh-CN"/>
              </w:rPr>
            </w:pPr>
            <w:r>
              <w:rPr>
                <w:rFonts w:hint="eastAsia" w:ascii="宋体" w:hAnsi="宋体" w:cs="宋体"/>
                <w:color w:val="auto"/>
                <w:lang w:eastAsia="zh-CN"/>
              </w:rPr>
              <w:t>联系人：</w:t>
            </w:r>
            <w:r>
              <w:rPr>
                <w:rFonts w:hint="eastAsia" w:ascii="宋体" w:hAnsi="宋体" w:cs="宋体"/>
                <w:color w:val="auto"/>
                <w:lang w:val="en-US" w:eastAsia="zh-CN"/>
              </w:rPr>
              <w:t>刘女士  王女士</w:t>
            </w:r>
          </w:p>
          <w:p w14:paraId="22905441">
            <w:pPr>
              <w:kinsoku/>
              <w:spacing w:line="400" w:lineRule="exact"/>
              <w:rPr>
                <w:rFonts w:ascii="宋体" w:hAnsi="宋体" w:cs="宋体"/>
                <w:color w:val="auto"/>
              </w:rPr>
            </w:pPr>
            <w:r>
              <w:rPr>
                <w:rFonts w:hint="eastAsia" w:ascii="宋体" w:hAnsi="宋体" w:cs="宋体"/>
                <w:color w:val="auto"/>
              </w:rPr>
              <w:t>联系方式：0370-5019910</w:t>
            </w:r>
          </w:p>
        </w:tc>
      </w:tr>
      <w:tr w14:paraId="393DFE22">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C1BD7D3">
            <w:pPr>
              <w:kinsoku/>
              <w:spacing w:line="400" w:lineRule="exact"/>
              <w:jc w:val="center"/>
              <w:rPr>
                <w:rFonts w:ascii="宋体" w:hAnsi="宋体" w:cs="宋体"/>
                <w:color w:val="auto"/>
              </w:rPr>
            </w:pPr>
            <w:r>
              <w:rPr>
                <w:rFonts w:hint="eastAsia" w:ascii="宋体" w:hAnsi="宋体" w:cs="宋体"/>
                <w:color w:val="auto"/>
              </w:rPr>
              <w:t>1.2.3</w:t>
            </w:r>
          </w:p>
        </w:tc>
        <w:tc>
          <w:tcPr>
            <w:tcW w:w="2255" w:type="dxa"/>
            <w:tcBorders>
              <w:top w:val="single" w:color="auto" w:sz="4" w:space="0"/>
              <w:left w:val="single" w:color="auto" w:sz="4" w:space="0"/>
              <w:bottom w:val="single" w:color="auto" w:sz="4" w:space="0"/>
              <w:right w:val="single" w:color="auto" w:sz="4" w:space="0"/>
            </w:tcBorders>
            <w:vAlign w:val="center"/>
          </w:tcPr>
          <w:p w14:paraId="0586AB79">
            <w:pPr>
              <w:kinsoku/>
              <w:spacing w:line="400" w:lineRule="exact"/>
              <w:jc w:val="center"/>
              <w:rPr>
                <w:rFonts w:ascii="宋体" w:hAnsi="宋体" w:cs="宋体"/>
                <w:color w:val="auto"/>
              </w:rPr>
            </w:pPr>
            <w:r>
              <w:rPr>
                <w:rFonts w:hint="eastAsia" w:ascii="宋体" w:hAnsi="宋体" w:cs="宋体"/>
                <w:color w:val="auto"/>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14:paraId="50C18F98">
            <w:pPr>
              <w:pStyle w:val="22"/>
              <w:widowControl w:val="0"/>
              <w:spacing w:beforeAutospacing="0" w:afterAutospacing="0" w:line="360" w:lineRule="auto"/>
              <w:rPr>
                <w:rFonts w:hint="eastAsia" w:ascii="宋体" w:hAnsi="宋体" w:eastAsia="宋体" w:cs="宋体"/>
                <w:snapToGrid w:val="0"/>
                <w:color w:val="000000"/>
                <w:sz w:val="22"/>
                <w:szCs w:val="22"/>
                <w:highlight w:val="none"/>
                <w:lang w:val="en-US" w:eastAsia="zh-CN" w:bidi="ar-SA"/>
              </w:rPr>
            </w:pPr>
            <w:r>
              <w:rPr>
                <w:rFonts w:hint="eastAsia" w:ascii="宋体" w:hAnsi="宋体" w:eastAsia="Arial" w:cs="宋体"/>
                <w:snapToGrid w:val="0"/>
                <w:color w:val="auto"/>
                <w:sz w:val="21"/>
                <w:szCs w:val="21"/>
                <w:lang w:val="en-US" w:eastAsia="zh-CN" w:bidi="ar-SA"/>
              </w:rPr>
              <w:t>永城市中心医院物业保洁管理服务采购项目</w:t>
            </w:r>
          </w:p>
        </w:tc>
      </w:tr>
      <w:tr w14:paraId="1E998BD6">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A152970">
            <w:pPr>
              <w:kinsoku/>
              <w:spacing w:line="400" w:lineRule="exact"/>
              <w:jc w:val="center"/>
              <w:rPr>
                <w:rFonts w:ascii="宋体" w:hAnsi="宋体" w:cs="宋体"/>
                <w:color w:val="auto"/>
              </w:rPr>
            </w:pPr>
            <w:r>
              <w:rPr>
                <w:rFonts w:hint="eastAsia" w:ascii="宋体" w:hAnsi="宋体" w:cs="宋体"/>
                <w:color w:val="auto"/>
              </w:rPr>
              <w:t>1.2.4</w:t>
            </w:r>
          </w:p>
        </w:tc>
        <w:tc>
          <w:tcPr>
            <w:tcW w:w="2255" w:type="dxa"/>
            <w:tcBorders>
              <w:top w:val="single" w:color="auto" w:sz="4" w:space="0"/>
              <w:left w:val="single" w:color="auto" w:sz="4" w:space="0"/>
              <w:bottom w:val="single" w:color="auto" w:sz="4" w:space="0"/>
              <w:right w:val="single" w:color="auto" w:sz="4" w:space="0"/>
            </w:tcBorders>
            <w:vAlign w:val="center"/>
          </w:tcPr>
          <w:p w14:paraId="787246A3">
            <w:pPr>
              <w:kinsoku/>
              <w:spacing w:line="400" w:lineRule="exact"/>
              <w:ind w:right="35"/>
              <w:jc w:val="center"/>
              <w:rPr>
                <w:rFonts w:ascii="宋体" w:hAnsi="宋体" w:cs="宋体"/>
                <w:color w:val="auto"/>
              </w:rPr>
            </w:pPr>
            <w:r>
              <w:rPr>
                <w:rFonts w:hint="eastAsia" w:ascii="宋体" w:hAnsi="宋体" w:cs="宋体"/>
                <w:color w:val="auto"/>
              </w:rPr>
              <w:t>采购方式</w:t>
            </w:r>
          </w:p>
        </w:tc>
        <w:tc>
          <w:tcPr>
            <w:tcW w:w="5952" w:type="dxa"/>
            <w:tcBorders>
              <w:top w:val="single" w:color="auto" w:sz="4" w:space="0"/>
              <w:left w:val="single" w:color="auto" w:sz="4" w:space="0"/>
              <w:bottom w:val="single" w:color="auto" w:sz="4" w:space="0"/>
              <w:right w:val="single" w:color="auto" w:sz="4" w:space="0"/>
            </w:tcBorders>
            <w:vAlign w:val="center"/>
          </w:tcPr>
          <w:p w14:paraId="2C0EACB8">
            <w:pPr>
              <w:kinsoku/>
              <w:spacing w:line="400" w:lineRule="exact"/>
              <w:rPr>
                <w:rFonts w:ascii="宋体" w:hAnsi="宋体" w:cs="宋体"/>
                <w:color w:val="auto"/>
              </w:rPr>
            </w:pPr>
            <w:r>
              <w:rPr>
                <w:rFonts w:hint="eastAsia" w:ascii="宋体" w:hAnsi="宋体" w:cs="宋体"/>
                <w:color w:val="auto"/>
              </w:rPr>
              <w:t>竞争性磋商</w:t>
            </w:r>
          </w:p>
        </w:tc>
      </w:tr>
      <w:tr w14:paraId="147A29AC">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1ED80812">
            <w:pPr>
              <w:kinsoku/>
              <w:spacing w:line="400" w:lineRule="exact"/>
              <w:jc w:val="center"/>
              <w:rPr>
                <w:rFonts w:ascii="宋体" w:hAnsi="宋体" w:cs="宋体"/>
                <w:color w:val="auto"/>
              </w:rPr>
            </w:pPr>
            <w:r>
              <w:rPr>
                <w:rFonts w:hint="eastAsia" w:ascii="宋体" w:hAnsi="宋体" w:cs="宋体"/>
                <w:color w:val="auto"/>
              </w:rPr>
              <w:t>1.2.5</w:t>
            </w:r>
          </w:p>
        </w:tc>
        <w:tc>
          <w:tcPr>
            <w:tcW w:w="2255" w:type="dxa"/>
            <w:tcBorders>
              <w:top w:val="single" w:color="auto" w:sz="4" w:space="0"/>
              <w:left w:val="single" w:color="auto" w:sz="4" w:space="0"/>
              <w:bottom w:val="single" w:color="auto" w:sz="4" w:space="0"/>
              <w:right w:val="single" w:color="auto" w:sz="4" w:space="0"/>
            </w:tcBorders>
            <w:vAlign w:val="center"/>
          </w:tcPr>
          <w:p w14:paraId="330596E6">
            <w:pPr>
              <w:kinsoku/>
              <w:spacing w:line="400" w:lineRule="exact"/>
              <w:jc w:val="center"/>
              <w:rPr>
                <w:rFonts w:ascii="宋体" w:hAnsi="宋体" w:cs="宋体"/>
                <w:color w:val="auto"/>
              </w:rPr>
            </w:pPr>
            <w:r>
              <w:rPr>
                <w:rFonts w:hint="eastAsia" w:ascii="宋体" w:hAnsi="宋体" w:cs="宋体"/>
                <w:color w:val="auto"/>
              </w:rPr>
              <w:t>预算价（最高限价）</w:t>
            </w:r>
          </w:p>
        </w:tc>
        <w:tc>
          <w:tcPr>
            <w:tcW w:w="5952" w:type="dxa"/>
            <w:tcBorders>
              <w:top w:val="single" w:color="auto" w:sz="4" w:space="0"/>
              <w:left w:val="single" w:color="auto" w:sz="4" w:space="0"/>
              <w:bottom w:val="single" w:color="auto" w:sz="4" w:space="0"/>
              <w:right w:val="single" w:color="auto" w:sz="4" w:space="0"/>
            </w:tcBorders>
            <w:vAlign w:val="center"/>
          </w:tcPr>
          <w:p w14:paraId="3296FF16">
            <w:pPr>
              <w:kinsoku/>
              <w:spacing w:line="400" w:lineRule="exact"/>
              <w:rPr>
                <w:rFonts w:ascii="宋体" w:hAnsi="宋体" w:cs="宋体"/>
                <w:color w:val="auto"/>
                <w:lang w:eastAsia="zh-CN"/>
              </w:rPr>
            </w:pPr>
            <w:r>
              <w:rPr>
                <w:rFonts w:hint="eastAsia" w:ascii="宋体" w:hAnsi="宋体" w:cs="宋体"/>
                <w:color w:val="auto"/>
                <w:lang w:eastAsia="zh-CN"/>
              </w:rPr>
              <w:t>预算价（最高限价）：</w:t>
            </w:r>
            <w:r>
              <w:rPr>
                <w:rFonts w:hint="eastAsia" w:ascii="宋体" w:hAnsi="宋体" w:cs="宋体"/>
                <w:kern w:val="2"/>
                <w:sz w:val="22"/>
                <w:szCs w:val="22"/>
                <w:lang w:val="en-US" w:eastAsia="zh-CN" w:bidi="ar-SA"/>
              </w:rPr>
              <w:t>1360000</w:t>
            </w:r>
            <w:r>
              <w:rPr>
                <w:rFonts w:hint="eastAsia" w:ascii="宋体" w:hAnsi="宋体" w:cs="宋体"/>
                <w:color w:val="auto"/>
                <w:lang w:eastAsia="zh-CN"/>
              </w:rPr>
              <w:t>元</w:t>
            </w:r>
          </w:p>
          <w:p w14:paraId="1146252D">
            <w:pPr>
              <w:pStyle w:val="34"/>
              <w:kinsoku/>
              <w:spacing w:line="400" w:lineRule="exact"/>
              <w:ind w:firstLine="0"/>
              <w:rPr>
                <w:rFonts w:ascii="宋体" w:hAnsi="宋体" w:cs="宋体"/>
                <w:color w:val="auto"/>
                <w:szCs w:val="21"/>
                <w:lang w:eastAsia="zh-CN"/>
              </w:rPr>
            </w:pPr>
            <w:r>
              <w:rPr>
                <w:rFonts w:hint="eastAsia" w:ascii="宋体" w:hAnsi="宋体" w:cs="宋体"/>
                <w:color w:val="auto"/>
                <w:szCs w:val="21"/>
                <w:lang w:eastAsia="zh-CN"/>
              </w:rPr>
              <w:t>第一次报价超过预算价（最高限价）按无效</w:t>
            </w:r>
            <w:r>
              <w:rPr>
                <w:rFonts w:hint="eastAsia" w:ascii="宋体" w:hAnsi="宋体" w:cs="宋体"/>
                <w:color w:val="auto"/>
                <w:szCs w:val="21"/>
                <w:lang w:val="en-US" w:eastAsia="zh-CN"/>
              </w:rPr>
              <w:t>响应</w:t>
            </w:r>
            <w:r>
              <w:rPr>
                <w:rFonts w:hint="eastAsia" w:ascii="宋体" w:hAnsi="宋体" w:cs="宋体"/>
                <w:color w:val="auto"/>
                <w:szCs w:val="21"/>
                <w:lang w:eastAsia="zh-CN"/>
              </w:rPr>
              <w:t>处理</w:t>
            </w:r>
          </w:p>
        </w:tc>
      </w:tr>
      <w:tr w14:paraId="1F04C8E5">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697BDAE">
            <w:pPr>
              <w:kinsoku/>
              <w:spacing w:line="400" w:lineRule="exact"/>
              <w:jc w:val="center"/>
              <w:rPr>
                <w:rFonts w:ascii="宋体" w:hAnsi="宋体" w:cs="宋体"/>
                <w:color w:val="auto"/>
              </w:rPr>
            </w:pPr>
            <w:r>
              <w:rPr>
                <w:rFonts w:hint="eastAsia" w:ascii="宋体" w:hAnsi="宋体" w:cs="宋体"/>
                <w:color w:val="auto"/>
              </w:rPr>
              <w:t>1.4.1</w:t>
            </w:r>
          </w:p>
        </w:tc>
        <w:tc>
          <w:tcPr>
            <w:tcW w:w="2255" w:type="dxa"/>
            <w:tcBorders>
              <w:top w:val="single" w:color="auto" w:sz="4" w:space="0"/>
              <w:left w:val="single" w:color="auto" w:sz="4" w:space="0"/>
              <w:bottom w:val="single" w:color="auto" w:sz="4" w:space="0"/>
              <w:right w:val="single" w:color="auto" w:sz="4" w:space="0"/>
            </w:tcBorders>
            <w:vAlign w:val="center"/>
          </w:tcPr>
          <w:p w14:paraId="409C298A">
            <w:pPr>
              <w:kinsoku/>
              <w:spacing w:line="400" w:lineRule="exac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采购需求</w:t>
            </w:r>
          </w:p>
        </w:tc>
        <w:tc>
          <w:tcPr>
            <w:tcW w:w="5952" w:type="dxa"/>
            <w:tcBorders>
              <w:top w:val="single" w:color="auto" w:sz="4" w:space="0"/>
              <w:left w:val="single" w:color="auto" w:sz="4" w:space="0"/>
              <w:bottom w:val="single" w:color="auto" w:sz="4" w:space="0"/>
              <w:right w:val="single" w:color="auto" w:sz="4" w:space="0"/>
            </w:tcBorders>
            <w:vAlign w:val="center"/>
          </w:tcPr>
          <w:p w14:paraId="46C99382">
            <w:pPr>
              <w:overflowPunct w:val="0"/>
              <w:spacing w:line="360" w:lineRule="auto"/>
              <w:contextualSpacing/>
              <w:rPr>
                <w:rFonts w:hint="default" w:ascii="宋体" w:hAnsi="宋体" w:cs="宋体"/>
                <w:color w:val="auto"/>
                <w:highlight w:val="yellow"/>
                <w:lang w:val="en-US" w:eastAsia="zh-CN"/>
              </w:rPr>
            </w:pPr>
            <w:r>
              <w:rPr>
                <w:rFonts w:hint="eastAsia" w:ascii="宋体" w:hAnsi="宋体" w:eastAsia="宋体" w:cs="宋体"/>
                <w:kern w:val="2"/>
                <w:sz w:val="22"/>
                <w:szCs w:val="22"/>
                <w:lang w:eastAsia="zh-CN" w:bidi="ar-SA"/>
              </w:rPr>
              <w:t>采购需求（包括但不限于标的的名称、数量、简要技术需求或服务要求等）（具体</w:t>
            </w:r>
            <w:r>
              <w:rPr>
                <w:rFonts w:hint="eastAsia" w:ascii="宋体" w:hAnsi="宋体" w:eastAsia="宋体" w:cs="宋体"/>
                <w:kern w:val="2"/>
                <w:sz w:val="22"/>
                <w:szCs w:val="22"/>
                <w:lang w:val="en-US" w:eastAsia="zh-CN" w:bidi="ar-SA"/>
              </w:rPr>
              <w:t>要求</w:t>
            </w:r>
            <w:r>
              <w:rPr>
                <w:rFonts w:hint="eastAsia" w:ascii="宋体" w:hAnsi="宋体" w:eastAsia="宋体" w:cs="宋体"/>
                <w:kern w:val="2"/>
                <w:sz w:val="22"/>
                <w:szCs w:val="22"/>
                <w:lang w:eastAsia="zh-CN" w:bidi="ar-SA"/>
              </w:rPr>
              <w:t>及</w:t>
            </w:r>
            <w:r>
              <w:rPr>
                <w:rFonts w:hint="eastAsia" w:ascii="宋体" w:hAnsi="宋体" w:eastAsia="宋体" w:cs="宋体"/>
                <w:kern w:val="2"/>
                <w:sz w:val="22"/>
                <w:szCs w:val="22"/>
                <w:lang w:val="en-US" w:eastAsia="zh-CN" w:bidi="ar-SA"/>
              </w:rPr>
              <w:t>数量</w:t>
            </w:r>
            <w:r>
              <w:rPr>
                <w:rFonts w:hint="eastAsia" w:ascii="宋体" w:hAnsi="宋体" w:eastAsia="宋体" w:cs="宋体"/>
                <w:kern w:val="2"/>
                <w:sz w:val="22"/>
                <w:szCs w:val="22"/>
                <w:lang w:eastAsia="zh-CN" w:bidi="ar-SA"/>
              </w:rPr>
              <w:t>详见招标文件）；</w:t>
            </w:r>
          </w:p>
        </w:tc>
      </w:tr>
      <w:tr w14:paraId="5352853F">
        <w:tblPrEx>
          <w:tblCellMar>
            <w:top w:w="0" w:type="dxa"/>
            <w:left w:w="108" w:type="dxa"/>
            <w:bottom w:w="0" w:type="dxa"/>
            <w:right w:w="108" w:type="dxa"/>
          </w:tblCellMar>
        </w:tblPrEx>
        <w:trPr>
          <w:trHeight w:val="68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0C54260">
            <w:pPr>
              <w:kinsoku/>
              <w:spacing w:line="400" w:lineRule="exact"/>
              <w:jc w:val="center"/>
              <w:rPr>
                <w:rFonts w:ascii="宋体" w:hAnsi="宋体" w:cs="宋体"/>
                <w:color w:val="auto"/>
                <w:highlight w:val="none"/>
              </w:rPr>
            </w:pPr>
            <w:r>
              <w:rPr>
                <w:rFonts w:hint="eastAsia" w:ascii="宋体" w:hAnsi="宋体" w:cs="宋体"/>
                <w:color w:val="auto"/>
                <w:highlight w:val="none"/>
              </w:rPr>
              <w:t>1.4.2</w:t>
            </w:r>
          </w:p>
        </w:tc>
        <w:tc>
          <w:tcPr>
            <w:tcW w:w="2255" w:type="dxa"/>
            <w:tcBorders>
              <w:top w:val="single" w:color="auto" w:sz="4" w:space="0"/>
              <w:left w:val="single" w:color="auto" w:sz="4" w:space="0"/>
              <w:bottom w:val="single" w:color="auto" w:sz="4" w:space="0"/>
              <w:right w:val="single" w:color="auto" w:sz="4" w:space="0"/>
            </w:tcBorders>
            <w:vAlign w:val="center"/>
          </w:tcPr>
          <w:p w14:paraId="15B2F1DB">
            <w:pPr>
              <w:kinsoku/>
              <w:spacing w:line="400" w:lineRule="exact"/>
              <w:ind w:firstLine="440" w:firstLineChars="200"/>
              <w:rPr>
                <w:rFonts w:hint="eastAsia"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服务期限</w:t>
            </w:r>
          </w:p>
        </w:tc>
        <w:tc>
          <w:tcPr>
            <w:tcW w:w="5952" w:type="dxa"/>
            <w:tcBorders>
              <w:top w:val="single" w:color="auto" w:sz="4" w:space="0"/>
              <w:left w:val="single" w:color="auto" w:sz="4" w:space="0"/>
              <w:bottom w:val="single" w:color="auto" w:sz="4" w:space="0"/>
              <w:right w:val="single" w:color="auto" w:sz="4" w:space="0"/>
            </w:tcBorders>
            <w:vAlign w:val="center"/>
          </w:tcPr>
          <w:p w14:paraId="19B24DD5">
            <w:pPr>
              <w:bidi w:val="0"/>
              <w:rPr>
                <w:rFonts w:hint="eastAsia"/>
                <w:lang w:eastAsia="zh-CN"/>
              </w:rPr>
            </w:pPr>
            <w:r>
              <w:rPr>
                <w:rFonts w:hint="eastAsia"/>
                <w:lang w:val="en-US" w:eastAsia="zh-CN"/>
              </w:rPr>
              <w:t>365</w:t>
            </w:r>
            <w:r>
              <w:rPr>
                <w:rFonts w:hint="eastAsia"/>
                <w:lang w:eastAsia="zh-CN"/>
              </w:rPr>
              <w:t>日历天</w:t>
            </w:r>
          </w:p>
        </w:tc>
      </w:tr>
      <w:tr w14:paraId="49181F64">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48A8B44">
            <w:pPr>
              <w:kinsoku/>
              <w:spacing w:line="400" w:lineRule="exact"/>
              <w:jc w:val="center"/>
              <w:rPr>
                <w:rFonts w:ascii="宋体" w:hAnsi="宋体" w:cs="宋体"/>
                <w:color w:val="auto"/>
              </w:rPr>
            </w:pPr>
            <w:r>
              <w:rPr>
                <w:rFonts w:hint="eastAsia" w:ascii="宋体" w:hAnsi="宋体" w:cs="宋体"/>
                <w:color w:val="auto"/>
              </w:rPr>
              <w:t>1.4.3</w:t>
            </w:r>
          </w:p>
        </w:tc>
        <w:tc>
          <w:tcPr>
            <w:tcW w:w="2255" w:type="dxa"/>
            <w:tcBorders>
              <w:top w:val="single" w:color="auto" w:sz="4" w:space="0"/>
              <w:left w:val="single" w:color="auto" w:sz="4" w:space="0"/>
              <w:bottom w:val="single" w:color="auto" w:sz="4" w:space="0"/>
              <w:right w:val="single" w:color="auto" w:sz="4" w:space="0"/>
            </w:tcBorders>
            <w:vAlign w:val="center"/>
          </w:tcPr>
          <w:p w14:paraId="04A3CAD4">
            <w:pPr>
              <w:kinsoku/>
              <w:spacing w:line="400" w:lineRule="exact"/>
              <w:jc w:val="center"/>
              <w:rPr>
                <w:rFonts w:ascii="宋体" w:hAnsi="宋体"/>
                <w:color w:val="auto"/>
              </w:rPr>
            </w:pPr>
            <w:r>
              <w:rPr>
                <w:rFonts w:hint="eastAsia" w:ascii="宋体" w:hAnsi="宋体"/>
                <w:color w:val="auto"/>
              </w:rPr>
              <w:t>质量要求</w:t>
            </w:r>
          </w:p>
        </w:tc>
        <w:tc>
          <w:tcPr>
            <w:tcW w:w="5952" w:type="dxa"/>
            <w:tcBorders>
              <w:top w:val="single" w:color="auto" w:sz="4" w:space="0"/>
              <w:left w:val="single" w:color="auto" w:sz="4" w:space="0"/>
              <w:bottom w:val="single" w:color="auto" w:sz="4" w:space="0"/>
              <w:right w:val="single" w:color="auto" w:sz="4" w:space="0"/>
            </w:tcBorders>
            <w:vAlign w:val="center"/>
          </w:tcPr>
          <w:p w14:paraId="0685040A">
            <w:pPr>
              <w:pStyle w:val="22"/>
              <w:widowControl w:val="0"/>
              <w:kinsoku/>
              <w:autoSpaceDE/>
              <w:autoSpaceDN/>
              <w:spacing w:beforeAutospacing="0" w:afterAutospacing="0" w:line="400" w:lineRule="exact"/>
              <w:textAlignment w:val="auto"/>
              <w:rPr>
                <w:rFonts w:eastAsia="宋体"/>
                <w:color w:val="auto"/>
                <w:szCs w:val="21"/>
                <w:lang w:eastAsia="zh-CN"/>
              </w:rPr>
            </w:pPr>
            <w:r>
              <w:rPr>
                <w:rFonts w:hint="eastAsia"/>
                <w:color w:val="auto"/>
                <w:sz w:val="21"/>
                <w:szCs w:val="21"/>
                <w:lang w:eastAsia="zh-CN"/>
              </w:rPr>
              <w:t>符合国家现行规范标准及行业最新规定，达到合格标准且满足采购人要求</w:t>
            </w:r>
          </w:p>
        </w:tc>
      </w:tr>
      <w:tr w14:paraId="4986B2D6">
        <w:tblPrEx>
          <w:tblCellMar>
            <w:top w:w="0" w:type="dxa"/>
            <w:left w:w="108" w:type="dxa"/>
            <w:bottom w:w="0" w:type="dxa"/>
            <w:right w:w="108" w:type="dxa"/>
          </w:tblCellMar>
        </w:tblPrEx>
        <w:trPr>
          <w:trHeight w:val="5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46C4DA9">
            <w:pPr>
              <w:kinsoku/>
              <w:spacing w:line="400" w:lineRule="exact"/>
              <w:jc w:val="center"/>
              <w:rPr>
                <w:rFonts w:ascii="宋体" w:hAnsi="宋体" w:cs="宋体"/>
                <w:color w:val="auto"/>
              </w:rPr>
            </w:pPr>
            <w:r>
              <w:rPr>
                <w:rFonts w:hint="eastAsia" w:ascii="宋体" w:hAnsi="宋体" w:cs="宋体"/>
                <w:color w:val="auto"/>
              </w:rPr>
              <w:t>1.4.4</w:t>
            </w:r>
          </w:p>
        </w:tc>
        <w:tc>
          <w:tcPr>
            <w:tcW w:w="2255" w:type="dxa"/>
            <w:tcBorders>
              <w:top w:val="single" w:color="auto" w:sz="4" w:space="0"/>
              <w:left w:val="single" w:color="auto" w:sz="4" w:space="0"/>
              <w:bottom w:val="single" w:color="auto" w:sz="4" w:space="0"/>
              <w:right w:val="single" w:color="auto" w:sz="4" w:space="0"/>
            </w:tcBorders>
            <w:vAlign w:val="center"/>
          </w:tcPr>
          <w:p w14:paraId="72511A4F">
            <w:pPr>
              <w:kinsoku/>
              <w:spacing w:line="400" w:lineRule="exact"/>
              <w:jc w:val="center"/>
              <w:rPr>
                <w:rFonts w:ascii="宋体" w:hAnsi="宋体" w:cs="宋体"/>
                <w:color w:val="auto"/>
              </w:rPr>
            </w:pPr>
            <w:r>
              <w:rPr>
                <w:rFonts w:hint="eastAsia" w:ascii="宋体" w:hAnsi="宋体" w:cs="宋体"/>
                <w:color w:val="auto"/>
              </w:rPr>
              <w:t>付款方式</w:t>
            </w:r>
          </w:p>
        </w:tc>
        <w:tc>
          <w:tcPr>
            <w:tcW w:w="5952" w:type="dxa"/>
            <w:tcBorders>
              <w:top w:val="single" w:color="auto" w:sz="4" w:space="0"/>
              <w:left w:val="single" w:color="auto" w:sz="4" w:space="0"/>
              <w:bottom w:val="single" w:color="auto" w:sz="4" w:space="0"/>
              <w:right w:val="single" w:color="auto" w:sz="4" w:space="0"/>
            </w:tcBorders>
            <w:vAlign w:val="center"/>
          </w:tcPr>
          <w:p w14:paraId="4DE62DDE">
            <w:pPr>
              <w:pStyle w:val="2"/>
              <w:widowControl w:val="0"/>
              <w:kinsoku/>
              <w:autoSpaceDE/>
              <w:autoSpaceDN/>
              <w:spacing w:line="400" w:lineRule="exact"/>
              <w:ind w:firstLine="0" w:firstLineChars="0"/>
              <w:textAlignment w:val="auto"/>
              <w:rPr>
                <w:color w:val="auto"/>
              </w:rPr>
            </w:pPr>
            <w:r>
              <w:rPr>
                <w:rFonts w:hint="eastAsia"/>
                <w:color w:val="auto"/>
              </w:rPr>
              <w:t>合同中约定</w:t>
            </w:r>
          </w:p>
        </w:tc>
      </w:tr>
      <w:tr w14:paraId="2A373C1D">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vAlign w:val="center"/>
          </w:tcPr>
          <w:p w14:paraId="2B373C0E">
            <w:pPr>
              <w:kinsoku/>
              <w:spacing w:line="400" w:lineRule="exact"/>
              <w:jc w:val="center"/>
              <w:rPr>
                <w:rFonts w:ascii="宋体" w:hAnsi="宋体" w:cs="宋体"/>
                <w:color w:val="auto"/>
              </w:rPr>
            </w:pPr>
            <w:r>
              <w:rPr>
                <w:rFonts w:hint="eastAsia" w:ascii="宋体" w:hAnsi="宋体" w:cs="宋体"/>
                <w:color w:val="auto"/>
              </w:rPr>
              <w:t>1.5.1</w:t>
            </w:r>
          </w:p>
        </w:tc>
        <w:tc>
          <w:tcPr>
            <w:tcW w:w="2255" w:type="dxa"/>
            <w:tcBorders>
              <w:top w:val="single" w:color="auto" w:sz="4" w:space="0"/>
              <w:left w:val="single" w:color="auto" w:sz="4" w:space="0"/>
              <w:bottom w:val="single" w:color="auto" w:sz="4" w:space="0"/>
              <w:right w:val="single" w:color="auto" w:sz="4" w:space="0"/>
            </w:tcBorders>
            <w:vAlign w:val="center"/>
          </w:tcPr>
          <w:p w14:paraId="22491D9A">
            <w:pPr>
              <w:kinsoku/>
              <w:spacing w:line="400" w:lineRule="exact"/>
              <w:jc w:val="center"/>
              <w:rPr>
                <w:rFonts w:ascii="宋体" w:hAnsi="宋体" w:cs="宋体"/>
                <w:color w:val="auto"/>
                <w:lang w:eastAsia="zh-CN"/>
              </w:rPr>
            </w:pPr>
            <w:r>
              <w:rPr>
                <w:rFonts w:hint="eastAsia" w:ascii="宋体" w:hAnsi="宋体" w:cs="宋体"/>
                <w:color w:val="auto"/>
                <w:lang w:eastAsia="zh-CN"/>
              </w:rPr>
              <w:t>供应商资质条件及能力要求</w:t>
            </w:r>
          </w:p>
        </w:tc>
        <w:tc>
          <w:tcPr>
            <w:tcW w:w="5952" w:type="dxa"/>
            <w:tcBorders>
              <w:top w:val="single" w:color="auto" w:sz="4" w:space="0"/>
              <w:left w:val="single" w:color="auto" w:sz="4" w:space="0"/>
              <w:bottom w:val="single" w:color="auto" w:sz="4" w:space="0"/>
              <w:right w:val="single" w:color="auto" w:sz="4" w:space="0"/>
            </w:tcBorders>
            <w:vAlign w:val="center"/>
          </w:tcPr>
          <w:p w14:paraId="5F5D99A5">
            <w:pPr>
              <w:spacing w:line="360" w:lineRule="auto"/>
              <w:rPr>
                <w:rFonts w:hint="default" w:ascii="Arial" w:hAnsi="Arial" w:eastAsia="Arial" w:cs="Arial"/>
                <w:snapToGrid w:val="0"/>
                <w:color w:val="000000"/>
                <w:spacing w:val="10"/>
                <w:sz w:val="21"/>
                <w:szCs w:val="21"/>
                <w:lang w:val="en-US" w:eastAsia="zh-CN" w:bidi="ar-SA"/>
              </w:rPr>
            </w:pPr>
            <w:r>
              <w:rPr>
                <w:rFonts w:hint="eastAsia" w:cs="Arial"/>
                <w:snapToGrid w:val="0"/>
                <w:color w:val="000000"/>
                <w:spacing w:val="10"/>
                <w:sz w:val="21"/>
                <w:szCs w:val="21"/>
                <w:lang w:val="en-US" w:eastAsia="zh-CN" w:bidi="ar-SA"/>
              </w:rPr>
              <w:t>详见磋商公告</w:t>
            </w:r>
          </w:p>
        </w:tc>
      </w:tr>
      <w:tr w14:paraId="361873EA">
        <w:tblPrEx>
          <w:tblCellMar>
            <w:top w:w="0" w:type="dxa"/>
            <w:left w:w="108" w:type="dxa"/>
            <w:bottom w:w="0" w:type="dxa"/>
            <w:right w:w="108" w:type="dxa"/>
          </w:tblCellMar>
        </w:tblPrEx>
        <w:trPr>
          <w:trHeight w:val="39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E2F7681">
            <w:pPr>
              <w:kinsoku/>
              <w:spacing w:line="400" w:lineRule="exact"/>
              <w:jc w:val="center"/>
              <w:rPr>
                <w:rFonts w:ascii="宋体" w:hAnsi="宋体" w:cs="宋体"/>
                <w:color w:val="auto"/>
              </w:rPr>
            </w:pPr>
            <w:r>
              <w:rPr>
                <w:rFonts w:hint="eastAsia" w:ascii="宋体" w:hAnsi="宋体" w:cs="宋体"/>
                <w:color w:val="auto"/>
              </w:rPr>
              <w:t>1.5.2</w:t>
            </w:r>
          </w:p>
        </w:tc>
        <w:tc>
          <w:tcPr>
            <w:tcW w:w="2255" w:type="dxa"/>
            <w:tcBorders>
              <w:top w:val="single" w:color="auto" w:sz="4" w:space="0"/>
              <w:left w:val="single" w:color="auto" w:sz="4" w:space="0"/>
              <w:bottom w:val="single" w:color="auto" w:sz="4" w:space="0"/>
              <w:right w:val="single" w:color="auto" w:sz="4" w:space="0"/>
            </w:tcBorders>
            <w:vAlign w:val="center"/>
          </w:tcPr>
          <w:p w14:paraId="34AF7D23">
            <w:pPr>
              <w:kinsoku/>
              <w:spacing w:line="400" w:lineRule="exact"/>
              <w:jc w:val="center"/>
              <w:rPr>
                <w:rFonts w:ascii="宋体" w:hAnsi="宋体" w:cs="宋体"/>
                <w:color w:val="auto"/>
              </w:rPr>
            </w:pPr>
            <w:r>
              <w:rPr>
                <w:rFonts w:hint="eastAsia" w:ascii="宋体" w:hAnsi="宋体" w:cs="宋体"/>
                <w:color w:val="auto"/>
              </w:rPr>
              <w:t>是否接受联合体</w:t>
            </w:r>
          </w:p>
        </w:tc>
        <w:tc>
          <w:tcPr>
            <w:tcW w:w="5952" w:type="dxa"/>
            <w:tcBorders>
              <w:top w:val="single" w:color="auto" w:sz="4" w:space="0"/>
              <w:left w:val="single" w:color="auto" w:sz="4" w:space="0"/>
              <w:bottom w:val="single" w:color="auto" w:sz="4" w:space="0"/>
              <w:right w:val="single" w:color="auto" w:sz="4" w:space="0"/>
            </w:tcBorders>
            <w:vAlign w:val="center"/>
          </w:tcPr>
          <w:p w14:paraId="4808EF17">
            <w:pPr>
              <w:pStyle w:val="10"/>
              <w:kinsoku/>
              <w:topLinePunct/>
              <w:spacing w:line="400" w:lineRule="exact"/>
              <w:rPr>
                <w:rFonts w:ascii="Arial" w:hAnsi="Arial" w:eastAsia="Arial" w:cs="Arial"/>
                <w:snapToGrid w:val="0"/>
                <w:color w:val="000000"/>
                <w:spacing w:val="10"/>
                <w:sz w:val="21"/>
                <w:szCs w:val="21"/>
                <w:lang w:val="en-US" w:eastAsia="zh-CN" w:bidi="ar-SA"/>
              </w:rPr>
            </w:pPr>
            <w:r>
              <w:rPr>
                <w:rFonts w:hint="eastAsia" w:ascii="Arial" w:hAnsi="Arial" w:eastAsia="Arial" w:cs="Arial"/>
                <w:snapToGrid w:val="0"/>
                <w:color w:val="000000"/>
                <w:spacing w:val="10"/>
                <w:sz w:val="21"/>
                <w:szCs w:val="21"/>
                <w:lang w:val="en-US" w:eastAsia="zh-CN" w:bidi="ar-SA"/>
              </w:rPr>
              <w:t>不接受</w:t>
            </w:r>
          </w:p>
        </w:tc>
      </w:tr>
      <w:tr w14:paraId="182C6FBA">
        <w:tblPrEx>
          <w:tblCellMar>
            <w:top w:w="0" w:type="dxa"/>
            <w:left w:w="108" w:type="dxa"/>
            <w:bottom w:w="0" w:type="dxa"/>
            <w:right w:w="108" w:type="dxa"/>
          </w:tblCellMar>
        </w:tblPrEx>
        <w:trPr>
          <w:trHeight w:val="58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819130D">
            <w:pPr>
              <w:kinsoku/>
              <w:spacing w:line="400" w:lineRule="exact"/>
              <w:jc w:val="center"/>
              <w:rPr>
                <w:rFonts w:ascii="宋体" w:hAnsi="宋体" w:cs="宋体"/>
                <w:color w:val="auto"/>
              </w:rPr>
            </w:pPr>
            <w:r>
              <w:rPr>
                <w:rFonts w:hint="eastAsia" w:ascii="宋体" w:hAnsi="宋体" w:cs="宋体"/>
                <w:color w:val="auto"/>
              </w:rPr>
              <w:t>1.10</w:t>
            </w:r>
          </w:p>
        </w:tc>
        <w:tc>
          <w:tcPr>
            <w:tcW w:w="2255" w:type="dxa"/>
            <w:tcBorders>
              <w:top w:val="single" w:color="auto" w:sz="4" w:space="0"/>
              <w:left w:val="single" w:color="auto" w:sz="4" w:space="0"/>
              <w:bottom w:val="single" w:color="auto" w:sz="4" w:space="0"/>
              <w:right w:val="single" w:color="auto" w:sz="4" w:space="0"/>
            </w:tcBorders>
            <w:vAlign w:val="center"/>
          </w:tcPr>
          <w:p w14:paraId="135CC641">
            <w:pPr>
              <w:kinsoku/>
              <w:spacing w:line="400" w:lineRule="exact"/>
              <w:jc w:val="center"/>
              <w:rPr>
                <w:rFonts w:ascii="宋体" w:hAnsi="宋体" w:cs="宋体"/>
                <w:color w:val="auto"/>
              </w:rPr>
            </w:pPr>
            <w:r>
              <w:rPr>
                <w:rFonts w:hint="eastAsia" w:ascii="宋体" w:hAnsi="宋体" w:cs="宋体"/>
                <w:color w:val="auto"/>
              </w:rPr>
              <w:t>现场踏勘</w:t>
            </w:r>
          </w:p>
        </w:tc>
        <w:tc>
          <w:tcPr>
            <w:tcW w:w="5952" w:type="dxa"/>
            <w:tcBorders>
              <w:top w:val="single" w:color="auto" w:sz="4" w:space="0"/>
              <w:left w:val="single" w:color="auto" w:sz="4" w:space="0"/>
              <w:bottom w:val="single" w:color="auto" w:sz="4" w:space="0"/>
              <w:right w:val="single" w:color="auto" w:sz="4" w:space="0"/>
            </w:tcBorders>
            <w:vAlign w:val="center"/>
          </w:tcPr>
          <w:p w14:paraId="08DDD8B6">
            <w:pPr>
              <w:pStyle w:val="10"/>
              <w:kinsoku/>
              <w:topLinePunct/>
              <w:spacing w:line="400" w:lineRule="exact"/>
              <w:rPr>
                <w:rFonts w:ascii="宋体" w:hAnsi="宋体" w:cs="宋体"/>
                <w:color w:val="auto"/>
                <w:kern w:val="2"/>
                <w:sz w:val="21"/>
                <w:szCs w:val="21"/>
              </w:rPr>
            </w:pPr>
            <w:r>
              <w:rPr>
                <w:rFonts w:hint="eastAsia" w:ascii="宋体" w:hAnsi="宋体" w:cs="宋体"/>
                <w:color w:val="auto"/>
                <w:kern w:val="2"/>
                <w:sz w:val="21"/>
                <w:szCs w:val="21"/>
              </w:rPr>
              <w:t>不组织</w:t>
            </w:r>
            <w:r>
              <w:rPr>
                <w:rFonts w:hint="eastAsia" w:ascii="宋体" w:hAnsi="宋体" w:cs="宋体"/>
                <w:color w:val="auto"/>
                <w:kern w:val="2"/>
                <w:sz w:val="21"/>
                <w:szCs w:val="21"/>
                <w:lang w:eastAsia="zh-CN"/>
              </w:rPr>
              <w:t>，</w:t>
            </w:r>
            <w:r>
              <w:rPr>
                <w:rFonts w:hint="eastAsia" w:ascii="宋体" w:hAnsi="宋体" w:cs="宋体"/>
                <w:color w:val="auto"/>
                <w:kern w:val="2"/>
                <w:sz w:val="21"/>
                <w:szCs w:val="21"/>
              </w:rPr>
              <w:t>自行勘察</w:t>
            </w:r>
          </w:p>
        </w:tc>
      </w:tr>
      <w:tr w14:paraId="17FB746C">
        <w:tblPrEx>
          <w:tblCellMar>
            <w:top w:w="0" w:type="dxa"/>
            <w:left w:w="108" w:type="dxa"/>
            <w:bottom w:w="0" w:type="dxa"/>
            <w:right w:w="108" w:type="dxa"/>
          </w:tblCellMar>
        </w:tblPrEx>
        <w:trPr>
          <w:trHeight w:val="56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6732A15E">
            <w:pPr>
              <w:kinsoku/>
              <w:spacing w:line="400" w:lineRule="exact"/>
              <w:jc w:val="center"/>
              <w:rPr>
                <w:rFonts w:ascii="宋体" w:hAnsi="宋体" w:cs="宋体"/>
                <w:color w:val="auto"/>
              </w:rPr>
            </w:pPr>
            <w:r>
              <w:rPr>
                <w:rFonts w:hint="eastAsia" w:ascii="宋体" w:hAnsi="宋体" w:cs="宋体"/>
                <w:color w:val="auto"/>
              </w:rPr>
              <w:t>1.11</w:t>
            </w:r>
          </w:p>
        </w:tc>
        <w:tc>
          <w:tcPr>
            <w:tcW w:w="2255" w:type="dxa"/>
            <w:tcBorders>
              <w:top w:val="single" w:color="auto" w:sz="4" w:space="0"/>
              <w:left w:val="single" w:color="auto" w:sz="4" w:space="0"/>
              <w:bottom w:val="single" w:color="auto" w:sz="4" w:space="0"/>
              <w:right w:val="single" w:color="auto" w:sz="4" w:space="0"/>
            </w:tcBorders>
            <w:vAlign w:val="center"/>
          </w:tcPr>
          <w:p w14:paraId="07CDA433">
            <w:pPr>
              <w:kinsoku/>
              <w:spacing w:line="400" w:lineRule="exact"/>
              <w:jc w:val="center"/>
              <w:rPr>
                <w:rFonts w:ascii="宋体" w:hAnsi="宋体" w:cs="宋体"/>
                <w:color w:val="auto"/>
              </w:rPr>
            </w:pPr>
            <w:r>
              <w:rPr>
                <w:rFonts w:hint="eastAsia" w:ascii="宋体" w:hAnsi="宋体" w:cs="宋体"/>
                <w:color w:val="auto"/>
              </w:rPr>
              <w:t>分包</w:t>
            </w:r>
          </w:p>
        </w:tc>
        <w:tc>
          <w:tcPr>
            <w:tcW w:w="5952" w:type="dxa"/>
            <w:tcBorders>
              <w:top w:val="single" w:color="auto" w:sz="4" w:space="0"/>
              <w:left w:val="single" w:color="auto" w:sz="4" w:space="0"/>
              <w:bottom w:val="single" w:color="auto" w:sz="4" w:space="0"/>
              <w:right w:val="single" w:color="auto" w:sz="4" w:space="0"/>
            </w:tcBorders>
            <w:vAlign w:val="center"/>
          </w:tcPr>
          <w:p w14:paraId="0C5FD8BE">
            <w:pPr>
              <w:pStyle w:val="10"/>
              <w:kinsoku/>
              <w:topLinePunct/>
              <w:spacing w:line="400" w:lineRule="exact"/>
              <w:rPr>
                <w:rFonts w:ascii="宋体" w:hAnsi="宋体" w:cs="宋体"/>
                <w:color w:val="auto"/>
                <w:kern w:val="2"/>
                <w:sz w:val="21"/>
                <w:szCs w:val="21"/>
              </w:rPr>
            </w:pPr>
            <w:r>
              <w:rPr>
                <w:rFonts w:hint="eastAsia" w:ascii="宋体" w:hAnsi="宋体" w:cs="宋体"/>
                <w:color w:val="auto"/>
                <w:kern w:val="2"/>
                <w:sz w:val="21"/>
                <w:szCs w:val="21"/>
              </w:rPr>
              <w:t>不允许</w:t>
            </w:r>
          </w:p>
        </w:tc>
      </w:tr>
      <w:tr w14:paraId="3EC5D24F">
        <w:tblPrEx>
          <w:tblCellMar>
            <w:top w:w="0" w:type="dxa"/>
            <w:left w:w="108" w:type="dxa"/>
            <w:bottom w:w="0" w:type="dxa"/>
            <w:right w:w="108" w:type="dxa"/>
          </w:tblCellMar>
        </w:tblPrEx>
        <w:trPr>
          <w:trHeight w:val="469"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4E5FB510">
            <w:pPr>
              <w:kinsoku/>
              <w:spacing w:line="400" w:lineRule="exact"/>
              <w:jc w:val="center"/>
              <w:rPr>
                <w:rFonts w:ascii="宋体" w:hAnsi="宋体" w:cs="宋体"/>
                <w:color w:val="auto"/>
              </w:rPr>
            </w:pPr>
            <w:r>
              <w:rPr>
                <w:rFonts w:hint="eastAsia" w:ascii="宋体" w:hAnsi="宋体" w:cs="宋体"/>
                <w:color w:val="auto"/>
              </w:rPr>
              <w:t>2.1</w:t>
            </w:r>
          </w:p>
        </w:tc>
        <w:tc>
          <w:tcPr>
            <w:tcW w:w="2255" w:type="dxa"/>
            <w:tcBorders>
              <w:top w:val="single" w:color="auto" w:sz="4" w:space="0"/>
              <w:left w:val="single" w:color="auto" w:sz="4" w:space="0"/>
              <w:bottom w:val="single" w:color="auto" w:sz="4" w:space="0"/>
              <w:right w:val="single" w:color="auto" w:sz="4" w:space="0"/>
            </w:tcBorders>
            <w:vAlign w:val="center"/>
          </w:tcPr>
          <w:p w14:paraId="2B24D620">
            <w:pPr>
              <w:kinsoku/>
              <w:spacing w:line="400" w:lineRule="exact"/>
              <w:jc w:val="center"/>
              <w:rPr>
                <w:rFonts w:ascii="宋体" w:hAnsi="宋体" w:cs="宋体"/>
                <w:color w:val="auto"/>
              </w:rPr>
            </w:pPr>
            <w:r>
              <w:rPr>
                <w:rFonts w:hint="eastAsia" w:ascii="宋体" w:hAnsi="宋体" w:cs="宋体"/>
                <w:color w:val="auto"/>
              </w:rPr>
              <w:t>构成磋商文件的其他材料</w:t>
            </w:r>
          </w:p>
        </w:tc>
        <w:tc>
          <w:tcPr>
            <w:tcW w:w="5952" w:type="dxa"/>
            <w:tcBorders>
              <w:top w:val="single" w:color="auto" w:sz="4" w:space="0"/>
              <w:left w:val="single" w:color="auto" w:sz="4" w:space="0"/>
              <w:bottom w:val="single" w:color="auto" w:sz="4" w:space="0"/>
              <w:right w:val="single" w:color="auto" w:sz="4" w:space="0"/>
            </w:tcBorders>
            <w:vAlign w:val="center"/>
          </w:tcPr>
          <w:p w14:paraId="5F637311">
            <w:pPr>
              <w:kinsoku/>
              <w:spacing w:line="400" w:lineRule="exact"/>
              <w:rPr>
                <w:rFonts w:ascii="宋体" w:hAnsi="宋体" w:cs="宋体"/>
                <w:color w:val="auto"/>
                <w:lang w:eastAsia="zh-CN"/>
              </w:rPr>
            </w:pPr>
            <w:r>
              <w:rPr>
                <w:rFonts w:hint="eastAsia" w:ascii="宋体" w:hAnsi="宋体" w:cs="宋体"/>
                <w:color w:val="auto"/>
                <w:lang w:eastAsia="zh-CN"/>
              </w:rPr>
              <w:t>除磋商文件外，采购人在磋商期间发出的澄清、修改、补充、补遗和其它有效正式函件等内容均是磋商文件的组成部分</w:t>
            </w:r>
          </w:p>
        </w:tc>
      </w:tr>
      <w:tr w14:paraId="2778EE96">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0FDBD77">
            <w:pPr>
              <w:kinsoku/>
              <w:spacing w:line="400" w:lineRule="exact"/>
              <w:jc w:val="center"/>
              <w:rPr>
                <w:rFonts w:ascii="宋体" w:hAnsi="宋体" w:cs="宋体"/>
                <w:color w:val="auto"/>
              </w:rPr>
            </w:pPr>
            <w:r>
              <w:rPr>
                <w:rFonts w:hint="eastAsia" w:ascii="宋体" w:hAnsi="宋体" w:cs="宋体"/>
                <w:color w:val="auto"/>
              </w:rPr>
              <w:t>2.2.1</w:t>
            </w:r>
          </w:p>
        </w:tc>
        <w:tc>
          <w:tcPr>
            <w:tcW w:w="2255" w:type="dxa"/>
            <w:tcBorders>
              <w:top w:val="single" w:color="auto" w:sz="4" w:space="0"/>
              <w:left w:val="single" w:color="auto" w:sz="4" w:space="0"/>
              <w:bottom w:val="single" w:color="auto" w:sz="4" w:space="0"/>
              <w:right w:val="single" w:color="auto" w:sz="4" w:space="0"/>
            </w:tcBorders>
            <w:vAlign w:val="center"/>
          </w:tcPr>
          <w:p w14:paraId="123A142D">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供应商提出问题的截止时间</w:t>
            </w:r>
          </w:p>
        </w:tc>
        <w:tc>
          <w:tcPr>
            <w:tcW w:w="5952" w:type="dxa"/>
            <w:tcBorders>
              <w:top w:val="single" w:color="auto" w:sz="4" w:space="0"/>
              <w:left w:val="single" w:color="auto" w:sz="4" w:space="0"/>
              <w:bottom w:val="single" w:color="auto" w:sz="4" w:space="0"/>
              <w:right w:val="single" w:color="auto" w:sz="4" w:space="0"/>
            </w:tcBorders>
            <w:vAlign w:val="center"/>
          </w:tcPr>
          <w:p w14:paraId="18B9571B">
            <w:pPr>
              <w:kinsoku/>
              <w:spacing w:line="400" w:lineRule="exact"/>
              <w:rPr>
                <w:rFonts w:ascii="宋体" w:hAnsi="宋体" w:cs="宋体"/>
                <w:color w:val="auto"/>
                <w:highlight w:val="none"/>
              </w:rPr>
            </w:pPr>
            <w:r>
              <w:rPr>
                <w:rFonts w:hint="eastAsia" w:ascii="宋体" w:hAnsi="宋体" w:cs="宋体"/>
                <w:color w:val="auto"/>
                <w:highlight w:val="none"/>
                <w:lang w:eastAsia="zh-CN"/>
              </w:rPr>
              <w:t>递交响应文件截止之日</w:t>
            </w:r>
            <w:r>
              <w:rPr>
                <w:rFonts w:hint="eastAsia" w:ascii="宋体" w:hAnsi="宋体" w:cs="宋体"/>
                <w:color w:val="auto"/>
                <w:highlight w:val="none"/>
                <w:u w:val="single"/>
                <w:lang w:eastAsia="zh-CN"/>
              </w:rPr>
              <w:t>5</w:t>
            </w:r>
            <w:r>
              <w:rPr>
                <w:rFonts w:hint="eastAsia" w:ascii="宋体" w:hAnsi="宋体" w:cs="宋体"/>
                <w:color w:val="auto"/>
                <w:highlight w:val="none"/>
                <w:lang w:eastAsia="zh-CN"/>
              </w:rPr>
              <w:t>天前</w:t>
            </w:r>
          </w:p>
        </w:tc>
      </w:tr>
      <w:tr w14:paraId="7F637B46">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8824F25">
            <w:pPr>
              <w:kinsoku/>
              <w:spacing w:line="400" w:lineRule="exact"/>
              <w:jc w:val="center"/>
              <w:rPr>
                <w:rFonts w:ascii="宋体" w:hAnsi="宋体" w:cs="宋体"/>
                <w:color w:val="auto"/>
              </w:rPr>
            </w:pPr>
            <w:r>
              <w:rPr>
                <w:rFonts w:hint="eastAsia" w:ascii="宋体" w:hAnsi="宋体" w:cs="宋体"/>
                <w:color w:val="auto"/>
              </w:rPr>
              <w:t>2.2.2</w:t>
            </w:r>
          </w:p>
        </w:tc>
        <w:tc>
          <w:tcPr>
            <w:tcW w:w="2255" w:type="dxa"/>
            <w:tcBorders>
              <w:top w:val="single" w:color="auto" w:sz="4" w:space="0"/>
              <w:left w:val="single" w:color="auto" w:sz="4" w:space="0"/>
              <w:bottom w:val="single" w:color="auto" w:sz="4" w:space="0"/>
              <w:right w:val="single" w:color="auto" w:sz="4" w:space="0"/>
            </w:tcBorders>
            <w:vAlign w:val="center"/>
          </w:tcPr>
          <w:p w14:paraId="0B74AC31">
            <w:pPr>
              <w:kinsoku/>
              <w:spacing w:line="400" w:lineRule="exact"/>
              <w:jc w:val="center"/>
              <w:rPr>
                <w:rFonts w:ascii="宋体" w:hAnsi="宋体" w:cs="宋体"/>
                <w:color w:val="auto"/>
                <w:highlight w:val="none"/>
                <w:lang w:eastAsia="zh-CN"/>
              </w:rPr>
            </w:pPr>
            <w:r>
              <w:rPr>
                <w:rFonts w:hint="eastAsia" w:ascii="宋体" w:hAnsi="宋体" w:cs="宋体"/>
                <w:color w:val="auto"/>
                <w:highlight w:val="none"/>
                <w:lang w:eastAsia="zh-CN"/>
              </w:rPr>
              <w:t>采购人澄清磋商文件的截止时间</w:t>
            </w:r>
          </w:p>
        </w:tc>
        <w:tc>
          <w:tcPr>
            <w:tcW w:w="5952" w:type="dxa"/>
            <w:tcBorders>
              <w:top w:val="single" w:color="auto" w:sz="4" w:space="0"/>
              <w:left w:val="single" w:color="auto" w:sz="4" w:space="0"/>
              <w:bottom w:val="single" w:color="auto" w:sz="4" w:space="0"/>
              <w:right w:val="single" w:color="auto" w:sz="4" w:space="0"/>
            </w:tcBorders>
            <w:vAlign w:val="center"/>
          </w:tcPr>
          <w:p w14:paraId="21ED30D6">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递交响应文件截止之日</w:t>
            </w:r>
            <w:r>
              <w:rPr>
                <w:rFonts w:hint="eastAsia" w:ascii="宋体" w:hAnsi="宋体" w:cs="宋体"/>
                <w:color w:val="auto"/>
                <w:highlight w:val="none"/>
                <w:u w:val="single"/>
                <w:lang w:eastAsia="zh-CN"/>
              </w:rPr>
              <w:t>5</w:t>
            </w:r>
            <w:r>
              <w:rPr>
                <w:rFonts w:hint="eastAsia" w:ascii="宋体" w:hAnsi="宋体" w:cs="宋体"/>
                <w:color w:val="auto"/>
                <w:highlight w:val="none"/>
                <w:lang w:eastAsia="zh-CN"/>
              </w:rPr>
              <w:t>天前</w:t>
            </w:r>
          </w:p>
        </w:tc>
      </w:tr>
      <w:tr w14:paraId="46749247">
        <w:tblPrEx>
          <w:tblCellMar>
            <w:top w:w="0" w:type="dxa"/>
            <w:left w:w="108" w:type="dxa"/>
            <w:bottom w:w="0" w:type="dxa"/>
            <w:right w:w="108" w:type="dxa"/>
          </w:tblCellMar>
        </w:tblPrEx>
        <w:trPr>
          <w:trHeight w:val="114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21BF638">
            <w:pPr>
              <w:kinsoku/>
              <w:spacing w:line="400" w:lineRule="exact"/>
              <w:jc w:val="center"/>
              <w:rPr>
                <w:rFonts w:ascii="宋体" w:hAnsi="宋体" w:cs="宋体"/>
                <w:color w:val="auto"/>
              </w:rPr>
            </w:pPr>
            <w:r>
              <w:rPr>
                <w:rFonts w:hint="eastAsia" w:ascii="宋体" w:hAnsi="宋体" w:cs="宋体"/>
                <w:color w:val="auto"/>
              </w:rPr>
              <w:t>2.2.3</w:t>
            </w:r>
          </w:p>
        </w:tc>
        <w:tc>
          <w:tcPr>
            <w:tcW w:w="2255" w:type="dxa"/>
            <w:tcBorders>
              <w:top w:val="single" w:color="auto" w:sz="4" w:space="0"/>
              <w:left w:val="single" w:color="auto" w:sz="4" w:space="0"/>
              <w:bottom w:val="single" w:color="auto" w:sz="4" w:space="0"/>
              <w:right w:val="single" w:color="auto" w:sz="4" w:space="0"/>
            </w:tcBorders>
            <w:vAlign w:val="center"/>
          </w:tcPr>
          <w:p w14:paraId="017C36F1">
            <w:pPr>
              <w:kinsoku/>
              <w:spacing w:line="400" w:lineRule="exact"/>
              <w:jc w:val="center"/>
              <w:rPr>
                <w:rFonts w:ascii="宋体" w:hAnsi="宋体" w:cs="宋体"/>
                <w:color w:val="auto"/>
                <w:lang w:eastAsia="zh-CN"/>
              </w:rPr>
            </w:pPr>
            <w:r>
              <w:rPr>
                <w:rFonts w:hint="eastAsia" w:ascii="宋体" w:hAnsi="宋体" w:cs="宋体"/>
                <w:color w:val="auto"/>
                <w:lang w:eastAsia="zh-CN"/>
              </w:rPr>
              <w:t>供应商确认收到磋商文件澄清的时间</w:t>
            </w:r>
          </w:p>
        </w:tc>
        <w:tc>
          <w:tcPr>
            <w:tcW w:w="5952" w:type="dxa"/>
            <w:tcBorders>
              <w:top w:val="single" w:color="auto" w:sz="4" w:space="0"/>
              <w:left w:val="single" w:color="auto" w:sz="4" w:space="0"/>
              <w:bottom w:val="single" w:color="auto" w:sz="4" w:space="0"/>
              <w:right w:val="single" w:color="auto" w:sz="4" w:space="0"/>
            </w:tcBorders>
            <w:vAlign w:val="center"/>
          </w:tcPr>
          <w:p w14:paraId="6E865364">
            <w:pPr>
              <w:kinsoku/>
              <w:spacing w:line="400" w:lineRule="exact"/>
              <w:rPr>
                <w:rFonts w:ascii="宋体" w:hAnsi="宋体" w:cs="宋体"/>
                <w:color w:val="auto"/>
                <w:lang w:eastAsia="zh-CN"/>
              </w:rPr>
            </w:pPr>
            <w:r>
              <w:rPr>
                <w:rFonts w:hint="eastAsia" w:ascii="宋体" w:hAnsi="宋体" w:cs="宋体"/>
                <w:color w:val="auto"/>
                <w:lang w:eastAsia="zh-CN"/>
              </w:rPr>
              <w:t>在收到相应澄清文件后</w:t>
            </w:r>
            <w:r>
              <w:rPr>
                <w:rFonts w:hint="eastAsia" w:ascii="宋体" w:hAnsi="宋体" w:cs="宋体"/>
                <w:color w:val="auto"/>
                <w:u w:val="single"/>
                <w:lang w:eastAsia="zh-CN"/>
              </w:rPr>
              <w:t xml:space="preserve"> 24 </w:t>
            </w:r>
            <w:r>
              <w:rPr>
                <w:rFonts w:hint="eastAsia" w:ascii="宋体" w:hAnsi="宋体" w:cs="宋体"/>
                <w:color w:val="auto"/>
                <w:lang w:eastAsia="zh-CN"/>
              </w:rPr>
              <w:t>小时内</w:t>
            </w:r>
          </w:p>
        </w:tc>
      </w:tr>
      <w:tr w14:paraId="4C6C01A8">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vAlign w:val="center"/>
          </w:tcPr>
          <w:p w14:paraId="024F2191">
            <w:pPr>
              <w:kinsoku/>
              <w:spacing w:line="400" w:lineRule="exact"/>
              <w:jc w:val="center"/>
              <w:rPr>
                <w:rFonts w:ascii="宋体" w:hAnsi="宋体" w:cs="宋体"/>
                <w:color w:val="auto"/>
              </w:rPr>
            </w:pPr>
            <w:r>
              <w:rPr>
                <w:rFonts w:hint="eastAsia" w:ascii="宋体" w:hAnsi="宋体" w:cs="宋体"/>
                <w:color w:val="auto"/>
              </w:rPr>
              <w:t>2.3.2</w:t>
            </w:r>
          </w:p>
        </w:tc>
        <w:tc>
          <w:tcPr>
            <w:tcW w:w="2255" w:type="dxa"/>
            <w:tcBorders>
              <w:top w:val="single" w:color="auto" w:sz="4" w:space="0"/>
              <w:left w:val="single" w:color="auto" w:sz="4" w:space="0"/>
              <w:bottom w:val="single" w:color="auto" w:sz="4" w:space="0"/>
              <w:right w:val="single" w:color="auto" w:sz="4" w:space="0"/>
            </w:tcBorders>
            <w:vAlign w:val="center"/>
          </w:tcPr>
          <w:p w14:paraId="58E2186C">
            <w:pPr>
              <w:kinsoku/>
              <w:spacing w:line="400" w:lineRule="exact"/>
              <w:jc w:val="center"/>
              <w:rPr>
                <w:rFonts w:ascii="宋体" w:hAnsi="宋体" w:cs="宋体"/>
                <w:color w:val="auto"/>
                <w:lang w:eastAsia="zh-CN"/>
              </w:rPr>
            </w:pPr>
            <w:r>
              <w:rPr>
                <w:rFonts w:hint="eastAsia" w:ascii="宋体" w:hAnsi="宋体" w:cs="宋体"/>
                <w:color w:val="auto"/>
                <w:lang w:eastAsia="zh-CN"/>
              </w:rPr>
              <w:t>供应商确认收到磋商文件修改的时间</w:t>
            </w:r>
          </w:p>
        </w:tc>
        <w:tc>
          <w:tcPr>
            <w:tcW w:w="5952" w:type="dxa"/>
            <w:tcBorders>
              <w:top w:val="single" w:color="auto" w:sz="4" w:space="0"/>
              <w:left w:val="single" w:color="auto" w:sz="4" w:space="0"/>
              <w:bottom w:val="single" w:color="auto" w:sz="4" w:space="0"/>
              <w:right w:val="single" w:color="auto" w:sz="4" w:space="0"/>
            </w:tcBorders>
            <w:vAlign w:val="center"/>
          </w:tcPr>
          <w:p w14:paraId="22ED3707">
            <w:pPr>
              <w:kinsoku/>
              <w:spacing w:line="400" w:lineRule="exact"/>
              <w:rPr>
                <w:rFonts w:ascii="宋体" w:hAnsi="宋体" w:cs="宋体"/>
                <w:color w:val="auto"/>
                <w:lang w:eastAsia="zh-CN"/>
              </w:rPr>
            </w:pPr>
            <w:r>
              <w:rPr>
                <w:rFonts w:hint="eastAsia" w:ascii="宋体" w:hAnsi="宋体" w:cs="宋体"/>
                <w:color w:val="auto"/>
                <w:lang w:eastAsia="zh-CN"/>
              </w:rPr>
              <w:t>在收到相应修改文件后</w:t>
            </w:r>
            <w:r>
              <w:rPr>
                <w:rFonts w:hint="eastAsia" w:ascii="宋体" w:hAnsi="宋体" w:cs="宋体"/>
                <w:color w:val="auto"/>
                <w:u w:val="single"/>
                <w:lang w:eastAsia="zh-CN"/>
              </w:rPr>
              <w:t xml:space="preserve"> 24 </w:t>
            </w:r>
            <w:r>
              <w:rPr>
                <w:rFonts w:hint="eastAsia" w:ascii="宋体" w:hAnsi="宋体" w:cs="宋体"/>
                <w:color w:val="auto"/>
                <w:lang w:eastAsia="zh-CN"/>
              </w:rPr>
              <w:t>小时内</w:t>
            </w:r>
          </w:p>
        </w:tc>
      </w:tr>
      <w:tr w14:paraId="3ED1E78F">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vAlign w:val="center"/>
          </w:tcPr>
          <w:p w14:paraId="15F98E0F">
            <w:pPr>
              <w:kinsoku/>
              <w:spacing w:line="400" w:lineRule="exact"/>
              <w:jc w:val="center"/>
              <w:rPr>
                <w:rFonts w:ascii="宋体" w:hAnsi="宋体" w:cs="宋体"/>
                <w:color w:val="auto"/>
              </w:rPr>
            </w:pPr>
            <w:r>
              <w:rPr>
                <w:rFonts w:hint="eastAsia" w:ascii="宋体" w:hAnsi="宋体" w:cs="宋体"/>
                <w:color w:val="auto"/>
              </w:rPr>
              <w:t>3.1</w:t>
            </w:r>
          </w:p>
        </w:tc>
        <w:tc>
          <w:tcPr>
            <w:tcW w:w="2255" w:type="dxa"/>
            <w:tcBorders>
              <w:top w:val="single" w:color="auto" w:sz="4" w:space="0"/>
              <w:left w:val="single" w:color="auto" w:sz="4" w:space="0"/>
              <w:bottom w:val="single" w:color="auto" w:sz="4" w:space="0"/>
              <w:right w:val="single" w:color="auto" w:sz="4" w:space="0"/>
            </w:tcBorders>
            <w:vAlign w:val="center"/>
          </w:tcPr>
          <w:p w14:paraId="374924C5">
            <w:pPr>
              <w:kinsoku/>
              <w:spacing w:line="400" w:lineRule="exact"/>
              <w:jc w:val="center"/>
              <w:rPr>
                <w:rFonts w:ascii="宋体" w:hAnsi="宋体" w:cs="宋体"/>
                <w:color w:val="auto"/>
                <w:lang w:eastAsia="zh-CN"/>
              </w:rPr>
            </w:pPr>
            <w:r>
              <w:rPr>
                <w:rFonts w:hint="eastAsia" w:ascii="宋体" w:hAnsi="宋体" w:cs="宋体"/>
                <w:color w:val="auto"/>
                <w:lang w:eastAsia="zh-CN"/>
              </w:rPr>
              <w:t>构成响应文件的其他材料</w:t>
            </w:r>
          </w:p>
        </w:tc>
        <w:tc>
          <w:tcPr>
            <w:tcW w:w="5952" w:type="dxa"/>
            <w:tcBorders>
              <w:top w:val="single" w:color="auto" w:sz="4" w:space="0"/>
              <w:left w:val="single" w:color="auto" w:sz="4" w:space="0"/>
              <w:bottom w:val="single" w:color="auto" w:sz="4" w:space="0"/>
              <w:right w:val="single" w:color="auto" w:sz="4" w:space="0"/>
            </w:tcBorders>
            <w:vAlign w:val="center"/>
          </w:tcPr>
          <w:p w14:paraId="71507CEF">
            <w:pPr>
              <w:kinsoku/>
              <w:spacing w:line="400" w:lineRule="exact"/>
              <w:rPr>
                <w:rFonts w:ascii="宋体" w:hAnsi="宋体" w:cs="宋体"/>
                <w:color w:val="auto"/>
                <w:lang w:eastAsia="zh-CN"/>
              </w:rPr>
            </w:pPr>
            <w:r>
              <w:rPr>
                <w:rFonts w:hint="eastAsia" w:ascii="宋体" w:hAnsi="宋体" w:cs="宋体"/>
                <w:color w:val="auto"/>
                <w:lang w:eastAsia="zh-CN"/>
              </w:rPr>
              <w:t>供应商认为需要提交的其他证明材料</w:t>
            </w:r>
          </w:p>
        </w:tc>
      </w:tr>
      <w:tr w14:paraId="1747E155">
        <w:tblPrEx>
          <w:tblCellMar>
            <w:top w:w="0" w:type="dxa"/>
            <w:left w:w="108" w:type="dxa"/>
            <w:bottom w:w="0" w:type="dxa"/>
            <w:right w:w="108" w:type="dxa"/>
          </w:tblCellMar>
        </w:tblPrEx>
        <w:trPr>
          <w:trHeight w:val="70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78CD3AB0">
            <w:pPr>
              <w:kinsoku/>
              <w:spacing w:line="400" w:lineRule="exact"/>
              <w:jc w:val="center"/>
              <w:rPr>
                <w:rFonts w:ascii="宋体" w:hAnsi="宋体" w:cs="宋体"/>
                <w:color w:val="auto"/>
              </w:rPr>
            </w:pPr>
            <w:r>
              <w:rPr>
                <w:rFonts w:hint="eastAsia" w:ascii="宋体" w:hAnsi="宋体" w:cs="宋体"/>
                <w:color w:val="auto"/>
              </w:rPr>
              <w:t>3.3.1</w:t>
            </w:r>
          </w:p>
        </w:tc>
        <w:tc>
          <w:tcPr>
            <w:tcW w:w="2255" w:type="dxa"/>
            <w:tcBorders>
              <w:top w:val="single" w:color="auto" w:sz="4" w:space="0"/>
              <w:left w:val="single" w:color="auto" w:sz="4" w:space="0"/>
              <w:bottom w:val="single" w:color="auto" w:sz="4" w:space="0"/>
              <w:right w:val="single" w:color="auto" w:sz="4" w:space="0"/>
            </w:tcBorders>
            <w:vAlign w:val="center"/>
          </w:tcPr>
          <w:p w14:paraId="07B3D35B">
            <w:pPr>
              <w:kinsoku/>
              <w:spacing w:line="400" w:lineRule="exact"/>
              <w:jc w:val="center"/>
              <w:rPr>
                <w:rFonts w:ascii="宋体" w:hAnsi="宋体" w:cs="宋体"/>
                <w:color w:val="auto"/>
                <w:highlight w:val="none"/>
              </w:rPr>
            </w:pPr>
            <w:r>
              <w:rPr>
                <w:rFonts w:hint="eastAsia" w:ascii="宋体" w:hAnsi="宋体" w:cs="宋体"/>
                <w:color w:val="auto"/>
                <w:highlight w:val="none"/>
              </w:rPr>
              <w:t>磋商有效期</w:t>
            </w:r>
          </w:p>
        </w:tc>
        <w:tc>
          <w:tcPr>
            <w:tcW w:w="5952" w:type="dxa"/>
            <w:tcBorders>
              <w:top w:val="single" w:color="auto" w:sz="4" w:space="0"/>
              <w:left w:val="single" w:color="auto" w:sz="4" w:space="0"/>
              <w:bottom w:val="single" w:color="auto" w:sz="4" w:space="0"/>
              <w:right w:val="single" w:color="auto" w:sz="4" w:space="0"/>
            </w:tcBorders>
            <w:vAlign w:val="center"/>
          </w:tcPr>
          <w:p w14:paraId="1F8CDE06">
            <w:pPr>
              <w:kinsoku/>
              <w:spacing w:line="400" w:lineRule="exact"/>
              <w:rPr>
                <w:rFonts w:ascii="宋体" w:hAnsi="宋体" w:cs="宋体"/>
                <w:color w:val="auto"/>
                <w:highlight w:val="none"/>
                <w:lang w:eastAsia="zh-CN"/>
              </w:rPr>
            </w:pPr>
            <w:r>
              <w:rPr>
                <w:rFonts w:hint="eastAsia" w:ascii="宋体" w:hAnsi="宋体" w:cs="宋体"/>
                <w:color w:val="auto"/>
                <w:highlight w:val="none"/>
                <w:lang w:eastAsia="zh-CN"/>
              </w:rPr>
              <w:t>60日历天（响应文件截止之日起）</w:t>
            </w:r>
          </w:p>
        </w:tc>
      </w:tr>
      <w:tr w14:paraId="2D209A4B">
        <w:tblPrEx>
          <w:tblCellMar>
            <w:top w:w="0" w:type="dxa"/>
            <w:left w:w="108" w:type="dxa"/>
            <w:bottom w:w="0" w:type="dxa"/>
            <w:right w:w="108" w:type="dxa"/>
          </w:tblCellMar>
        </w:tblPrEx>
        <w:trPr>
          <w:trHeight w:val="552"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B875F6E">
            <w:pPr>
              <w:kinsoku/>
              <w:spacing w:line="400" w:lineRule="exact"/>
              <w:jc w:val="center"/>
              <w:textAlignment w:val="center"/>
              <w:rPr>
                <w:rFonts w:ascii="宋体" w:hAnsi="宋体"/>
                <w:color w:val="auto"/>
              </w:rPr>
            </w:pPr>
            <w:r>
              <w:rPr>
                <w:rFonts w:hint="eastAsia" w:ascii="宋体" w:hAnsi="宋体"/>
                <w:color w:val="auto"/>
              </w:rPr>
              <w:t>3.2.3</w:t>
            </w:r>
          </w:p>
        </w:tc>
        <w:tc>
          <w:tcPr>
            <w:tcW w:w="2255" w:type="dxa"/>
            <w:tcBorders>
              <w:top w:val="single" w:color="auto" w:sz="4" w:space="0"/>
              <w:left w:val="single" w:color="auto" w:sz="4" w:space="0"/>
              <w:bottom w:val="single" w:color="auto" w:sz="4" w:space="0"/>
              <w:right w:val="single" w:color="auto" w:sz="4" w:space="0"/>
            </w:tcBorders>
            <w:vAlign w:val="center"/>
          </w:tcPr>
          <w:p w14:paraId="1B9ED607">
            <w:pPr>
              <w:kinsoku/>
              <w:spacing w:line="400" w:lineRule="exact"/>
              <w:jc w:val="center"/>
              <w:textAlignment w:val="center"/>
              <w:rPr>
                <w:color w:val="auto"/>
                <w:szCs w:val="24"/>
              </w:rPr>
            </w:pPr>
            <w:r>
              <w:rPr>
                <w:color w:val="auto"/>
              </w:rPr>
              <w:t>报价方式</w:t>
            </w:r>
          </w:p>
        </w:tc>
        <w:tc>
          <w:tcPr>
            <w:tcW w:w="5952" w:type="dxa"/>
            <w:tcBorders>
              <w:top w:val="single" w:color="auto" w:sz="4" w:space="0"/>
              <w:left w:val="single" w:color="auto" w:sz="4" w:space="0"/>
              <w:bottom w:val="single" w:color="auto" w:sz="4" w:space="0"/>
              <w:right w:val="single" w:color="auto" w:sz="4" w:space="0"/>
            </w:tcBorders>
            <w:vAlign w:val="center"/>
          </w:tcPr>
          <w:p w14:paraId="51196DF8">
            <w:pPr>
              <w:kinsoku/>
              <w:spacing w:line="400" w:lineRule="exact"/>
              <w:textAlignment w:val="center"/>
              <w:rPr>
                <w:rFonts w:ascii="宋体" w:hAnsi="宋体"/>
                <w:color w:val="auto"/>
                <w:szCs w:val="24"/>
              </w:rPr>
            </w:pPr>
            <w:r>
              <w:rPr>
                <w:rFonts w:hint="eastAsia" w:ascii="宋体" w:hAnsi="宋体"/>
                <w:color w:val="auto"/>
              </w:rPr>
              <w:t>自主报价</w:t>
            </w:r>
          </w:p>
        </w:tc>
      </w:tr>
      <w:tr w14:paraId="2E4677C5">
        <w:tblPrEx>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vAlign w:val="center"/>
          </w:tcPr>
          <w:p w14:paraId="31597FEB">
            <w:pPr>
              <w:kinsoku/>
              <w:spacing w:line="400" w:lineRule="exact"/>
              <w:jc w:val="center"/>
              <w:rPr>
                <w:rFonts w:ascii="宋体" w:hAnsi="宋体" w:cs="宋体"/>
                <w:color w:val="auto"/>
              </w:rPr>
            </w:pPr>
            <w:r>
              <w:rPr>
                <w:rFonts w:hint="eastAsia" w:ascii="宋体" w:hAnsi="宋体" w:cs="宋体"/>
                <w:color w:val="auto"/>
              </w:rPr>
              <w:t>3.6</w:t>
            </w:r>
          </w:p>
        </w:tc>
        <w:tc>
          <w:tcPr>
            <w:tcW w:w="2255" w:type="dxa"/>
            <w:tcBorders>
              <w:top w:val="single" w:color="auto" w:sz="4" w:space="0"/>
              <w:left w:val="single" w:color="auto" w:sz="4" w:space="0"/>
              <w:bottom w:val="single" w:color="auto" w:sz="4" w:space="0"/>
              <w:right w:val="single" w:color="auto" w:sz="4" w:space="0"/>
            </w:tcBorders>
            <w:vAlign w:val="center"/>
          </w:tcPr>
          <w:p w14:paraId="2F28BF41">
            <w:pPr>
              <w:kinsoku/>
              <w:spacing w:line="400" w:lineRule="exact"/>
              <w:jc w:val="center"/>
              <w:rPr>
                <w:rFonts w:ascii="宋体" w:hAnsi="宋体" w:cs="宋体"/>
                <w:color w:val="auto"/>
                <w:lang w:eastAsia="zh-CN"/>
              </w:rPr>
            </w:pPr>
            <w:r>
              <w:rPr>
                <w:rFonts w:hint="eastAsia" w:ascii="宋体" w:hAnsi="宋体" w:cs="宋体"/>
                <w:color w:val="auto"/>
                <w:lang w:eastAsia="zh-CN"/>
              </w:rPr>
              <w:t>是否允许递交备选磋商方案</w:t>
            </w:r>
          </w:p>
        </w:tc>
        <w:tc>
          <w:tcPr>
            <w:tcW w:w="5952" w:type="dxa"/>
            <w:tcBorders>
              <w:top w:val="single" w:color="auto" w:sz="4" w:space="0"/>
              <w:left w:val="single" w:color="auto" w:sz="4" w:space="0"/>
              <w:bottom w:val="single" w:color="auto" w:sz="4" w:space="0"/>
              <w:right w:val="single" w:color="auto" w:sz="4" w:space="0"/>
            </w:tcBorders>
            <w:vAlign w:val="center"/>
          </w:tcPr>
          <w:p w14:paraId="6941ADA8">
            <w:pPr>
              <w:pStyle w:val="10"/>
              <w:kinsoku/>
              <w:topLinePunct/>
              <w:spacing w:line="400" w:lineRule="exact"/>
              <w:rPr>
                <w:rFonts w:ascii="宋体" w:hAnsi="宋体" w:cs="宋体"/>
                <w:color w:val="auto"/>
                <w:kern w:val="2"/>
                <w:sz w:val="21"/>
                <w:szCs w:val="21"/>
              </w:rPr>
            </w:pPr>
            <w:r>
              <w:rPr>
                <w:rFonts w:hint="eastAsia" w:ascii="宋体" w:hAnsi="宋体" w:cs="宋体"/>
                <w:color w:val="auto"/>
                <w:kern w:val="2"/>
                <w:sz w:val="21"/>
                <w:szCs w:val="21"/>
              </w:rPr>
              <w:t>不允许</w:t>
            </w:r>
          </w:p>
        </w:tc>
      </w:tr>
      <w:tr w14:paraId="70D07046">
        <w:tblPrEx>
          <w:tblCellMar>
            <w:top w:w="0" w:type="dxa"/>
            <w:left w:w="108" w:type="dxa"/>
            <w:bottom w:w="0" w:type="dxa"/>
            <w:right w:w="108" w:type="dxa"/>
          </w:tblCellMar>
        </w:tblPrEx>
        <w:trPr>
          <w:trHeight w:val="166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7204579">
            <w:pPr>
              <w:kinsoku/>
              <w:spacing w:line="400" w:lineRule="exact"/>
              <w:jc w:val="center"/>
              <w:rPr>
                <w:rFonts w:ascii="宋体" w:hAnsi="宋体" w:cs="宋体"/>
                <w:color w:val="auto"/>
              </w:rPr>
            </w:pPr>
            <w:r>
              <w:rPr>
                <w:rFonts w:hint="eastAsia" w:ascii="宋体" w:hAnsi="宋体" w:cs="宋体"/>
                <w:color w:val="auto"/>
              </w:rPr>
              <w:t>3.7.3</w:t>
            </w:r>
          </w:p>
        </w:tc>
        <w:tc>
          <w:tcPr>
            <w:tcW w:w="2255" w:type="dxa"/>
            <w:tcBorders>
              <w:top w:val="single" w:color="auto" w:sz="4" w:space="0"/>
              <w:left w:val="single" w:color="auto" w:sz="4" w:space="0"/>
              <w:bottom w:val="single" w:color="auto" w:sz="4" w:space="0"/>
              <w:right w:val="single" w:color="auto" w:sz="4" w:space="0"/>
            </w:tcBorders>
            <w:vAlign w:val="center"/>
          </w:tcPr>
          <w:p w14:paraId="44CDACA6">
            <w:pPr>
              <w:kinsoku/>
              <w:spacing w:line="400" w:lineRule="exact"/>
              <w:jc w:val="center"/>
              <w:rPr>
                <w:rFonts w:ascii="宋体" w:hAnsi="宋体" w:cs="宋体"/>
                <w:color w:val="auto"/>
                <w:lang w:eastAsia="zh-CN"/>
              </w:rPr>
            </w:pPr>
            <w:r>
              <w:rPr>
                <w:rFonts w:hint="eastAsia" w:ascii="宋体" w:hAnsi="宋体" w:cs="宋体"/>
                <w:color w:val="auto"/>
                <w:lang w:eastAsia="zh-CN"/>
              </w:rPr>
              <w:t>电子响应文件签字盖章要求</w:t>
            </w:r>
          </w:p>
        </w:tc>
        <w:tc>
          <w:tcPr>
            <w:tcW w:w="5952" w:type="dxa"/>
            <w:tcBorders>
              <w:top w:val="single" w:color="auto" w:sz="4" w:space="0"/>
              <w:left w:val="single" w:color="auto" w:sz="4" w:space="0"/>
              <w:bottom w:val="single" w:color="auto" w:sz="4" w:space="0"/>
              <w:right w:val="single" w:color="auto" w:sz="4" w:space="0"/>
            </w:tcBorders>
            <w:vAlign w:val="center"/>
          </w:tcPr>
          <w:p w14:paraId="68F9A994">
            <w:pPr>
              <w:kinsoku/>
              <w:spacing w:line="400" w:lineRule="exact"/>
              <w:rPr>
                <w:rFonts w:ascii="宋体" w:hAnsi="宋体" w:cs="宋体"/>
                <w:color w:val="auto"/>
                <w:lang w:eastAsia="zh-CN"/>
              </w:rPr>
            </w:pPr>
            <w:r>
              <w:rPr>
                <w:rFonts w:hint="eastAsia" w:ascii="宋体" w:hAnsi="宋体" w:cs="宋体"/>
                <w:color w:val="auto"/>
                <w:lang w:eastAsia="zh-CN"/>
              </w:rPr>
              <w:t>（1）所有要求供应商加盖公章的地方都须加盖供应商的 CA 印章。</w:t>
            </w:r>
          </w:p>
          <w:p w14:paraId="46961C01">
            <w:pPr>
              <w:kinsoku/>
              <w:spacing w:line="400" w:lineRule="exact"/>
              <w:rPr>
                <w:rFonts w:ascii="宋体" w:hAnsi="宋体" w:cs="宋体"/>
                <w:color w:val="auto"/>
                <w:lang w:eastAsia="zh-CN"/>
              </w:rPr>
            </w:pPr>
            <w:r>
              <w:rPr>
                <w:rFonts w:hint="eastAsia" w:ascii="宋体" w:hAnsi="宋体" w:cs="宋体"/>
                <w:color w:val="auto"/>
                <w:lang w:eastAsia="zh-CN"/>
              </w:rPr>
              <w:t>（2）所有要求法定代表人或其委托代理人签字的地方都须法定代表人或其委托代理人加盖CA印章或签字。</w:t>
            </w:r>
          </w:p>
        </w:tc>
      </w:tr>
      <w:tr w14:paraId="6D230B80">
        <w:tblPrEx>
          <w:tblCellMar>
            <w:top w:w="0" w:type="dxa"/>
            <w:left w:w="108" w:type="dxa"/>
            <w:bottom w:w="0" w:type="dxa"/>
            <w:right w:w="108" w:type="dxa"/>
          </w:tblCellMar>
        </w:tblPrEx>
        <w:trPr>
          <w:trHeight w:val="788"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201A67F5">
            <w:pPr>
              <w:kinsoku/>
              <w:spacing w:line="400" w:lineRule="exact"/>
              <w:jc w:val="center"/>
              <w:rPr>
                <w:rFonts w:ascii="宋体" w:hAnsi="宋体" w:cs="宋体"/>
                <w:bCs/>
                <w:color w:val="auto"/>
              </w:rPr>
            </w:pPr>
            <w:r>
              <w:rPr>
                <w:rFonts w:hint="eastAsia" w:ascii="宋体" w:hAnsi="宋体" w:cs="宋体"/>
                <w:bCs/>
                <w:color w:val="auto"/>
              </w:rPr>
              <w:t>3.7.4</w:t>
            </w:r>
          </w:p>
        </w:tc>
        <w:tc>
          <w:tcPr>
            <w:tcW w:w="2255" w:type="dxa"/>
            <w:tcBorders>
              <w:top w:val="single" w:color="auto" w:sz="4" w:space="0"/>
              <w:left w:val="single" w:color="auto" w:sz="4" w:space="0"/>
              <w:bottom w:val="single" w:color="auto" w:sz="4" w:space="0"/>
              <w:right w:val="single" w:color="auto" w:sz="4" w:space="0"/>
            </w:tcBorders>
            <w:vAlign w:val="center"/>
          </w:tcPr>
          <w:p w14:paraId="46BE1CF0">
            <w:pPr>
              <w:kinsoku/>
              <w:spacing w:line="400" w:lineRule="exact"/>
              <w:jc w:val="center"/>
              <w:rPr>
                <w:rFonts w:ascii="宋体" w:hAnsi="宋体" w:cs="宋体"/>
                <w:bCs/>
                <w:color w:val="auto"/>
              </w:rPr>
            </w:pPr>
            <w:r>
              <w:rPr>
                <w:rFonts w:hint="eastAsia" w:ascii="宋体" w:hAnsi="宋体" w:cs="宋体"/>
                <w:bCs/>
                <w:color w:val="auto"/>
              </w:rPr>
              <w:t>响应文件份数</w:t>
            </w:r>
          </w:p>
        </w:tc>
        <w:tc>
          <w:tcPr>
            <w:tcW w:w="5952" w:type="dxa"/>
            <w:tcBorders>
              <w:top w:val="single" w:color="auto" w:sz="4" w:space="0"/>
              <w:left w:val="single" w:color="auto" w:sz="4" w:space="0"/>
              <w:bottom w:val="single" w:color="auto" w:sz="4" w:space="0"/>
              <w:right w:val="single" w:color="auto" w:sz="4" w:space="0"/>
            </w:tcBorders>
            <w:vAlign w:val="center"/>
          </w:tcPr>
          <w:p w14:paraId="226F5916">
            <w:pPr>
              <w:kinsoku/>
              <w:spacing w:line="400" w:lineRule="exact"/>
              <w:rPr>
                <w:rFonts w:ascii="宋体" w:hAnsi="宋体" w:cs="宋体"/>
                <w:bCs/>
                <w:color w:val="auto"/>
                <w:lang w:eastAsia="zh-CN"/>
              </w:rPr>
            </w:pPr>
            <w:r>
              <w:rPr>
                <w:rFonts w:hint="eastAsia"/>
                <w:lang w:eastAsia="zh-CN"/>
              </w:rPr>
              <w:t>网上上传GEF电子磋商响应文件一份(按商丘市公共资源交易中心对电子磋商响应文件的要求进行制作，在系统指定位置上传)</w:t>
            </w:r>
          </w:p>
        </w:tc>
      </w:tr>
      <w:tr w14:paraId="16D9439A">
        <w:tblPrEx>
          <w:tblCellMar>
            <w:top w:w="0" w:type="dxa"/>
            <w:left w:w="108" w:type="dxa"/>
            <w:bottom w:w="0" w:type="dxa"/>
            <w:right w:w="108" w:type="dxa"/>
          </w:tblCellMar>
        </w:tblPrEx>
        <w:trPr>
          <w:trHeight w:val="617"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7E7C1061">
            <w:pPr>
              <w:kinsoku/>
              <w:spacing w:line="400" w:lineRule="exact"/>
              <w:jc w:val="center"/>
              <w:rPr>
                <w:rFonts w:ascii="宋体" w:hAnsi="宋体" w:cs="宋体"/>
                <w:color w:val="auto"/>
              </w:rPr>
            </w:pPr>
            <w:r>
              <w:rPr>
                <w:rFonts w:hint="eastAsia" w:ascii="宋体" w:hAnsi="宋体" w:cs="宋体"/>
                <w:color w:val="auto"/>
              </w:rPr>
              <w:t>4.2</w:t>
            </w:r>
          </w:p>
        </w:tc>
        <w:tc>
          <w:tcPr>
            <w:tcW w:w="2255" w:type="dxa"/>
            <w:tcBorders>
              <w:top w:val="single" w:color="auto" w:sz="4" w:space="0"/>
              <w:left w:val="single" w:color="auto" w:sz="4" w:space="0"/>
              <w:bottom w:val="single" w:color="auto" w:sz="4" w:space="0"/>
              <w:right w:val="single" w:color="auto" w:sz="4" w:space="0"/>
            </w:tcBorders>
            <w:vAlign w:val="center"/>
          </w:tcPr>
          <w:p w14:paraId="00E9DE8B">
            <w:pPr>
              <w:kinsoku/>
              <w:spacing w:line="400" w:lineRule="exact"/>
              <w:jc w:val="center"/>
              <w:rPr>
                <w:rFonts w:ascii="宋体" w:hAnsi="宋体" w:cs="宋体"/>
                <w:color w:val="auto"/>
              </w:rPr>
            </w:pPr>
            <w:r>
              <w:rPr>
                <w:rFonts w:hint="eastAsia" w:ascii="宋体" w:hAnsi="宋体" w:cs="宋体"/>
                <w:color w:val="auto"/>
              </w:rPr>
              <w:t>响应文件的递交</w:t>
            </w:r>
          </w:p>
        </w:tc>
        <w:tc>
          <w:tcPr>
            <w:tcW w:w="5952" w:type="dxa"/>
            <w:tcBorders>
              <w:top w:val="single" w:color="auto" w:sz="4" w:space="0"/>
              <w:left w:val="single" w:color="auto" w:sz="4" w:space="0"/>
              <w:bottom w:val="single" w:color="auto" w:sz="4" w:space="0"/>
              <w:right w:val="single" w:color="auto" w:sz="4" w:space="0"/>
            </w:tcBorders>
            <w:vAlign w:val="center"/>
          </w:tcPr>
          <w:p w14:paraId="6A4C1D8B">
            <w:pPr>
              <w:kinsoku/>
              <w:spacing w:line="400" w:lineRule="exact"/>
              <w:rPr>
                <w:rFonts w:ascii="宋体" w:hAnsi="宋体" w:cs="宋体"/>
                <w:color w:val="auto"/>
                <w:lang w:eastAsia="zh-CN"/>
              </w:rPr>
            </w:pPr>
            <w:r>
              <w:rPr>
                <w:rFonts w:hint="eastAsia" w:ascii="宋体" w:hAnsi="宋体" w:cs="宋体"/>
                <w:color w:val="auto"/>
                <w:lang w:eastAsia="zh-CN"/>
              </w:rPr>
              <w:t>在电子投标文件网上递交的截止时间前，使用CA锁登录后将已固化且加密的电子投标文件通过网上递交的方式在投标专区自行网上递交，并确保网上递交成功（为保证文件正常网上递交，请投标人错峰上传，详细操作可参阅交易平台办事服务-操作指南-投标阶段）；</w:t>
            </w:r>
          </w:p>
        </w:tc>
      </w:tr>
      <w:tr w14:paraId="00E4E3FE">
        <w:tblPrEx>
          <w:tblCellMar>
            <w:top w:w="0" w:type="dxa"/>
            <w:left w:w="108" w:type="dxa"/>
            <w:bottom w:w="0" w:type="dxa"/>
            <w:right w:w="108" w:type="dxa"/>
          </w:tblCellMar>
        </w:tblPrEx>
        <w:trPr>
          <w:trHeight w:val="911"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76F2295">
            <w:pPr>
              <w:kinsoku/>
              <w:spacing w:line="400" w:lineRule="exact"/>
              <w:jc w:val="center"/>
              <w:rPr>
                <w:rFonts w:ascii="宋体" w:hAnsi="宋体" w:cs="宋体"/>
                <w:color w:val="auto"/>
              </w:rPr>
            </w:pPr>
            <w:r>
              <w:rPr>
                <w:rFonts w:hint="eastAsia" w:ascii="宋体" w:hAnsi="宋体" w:cs="宋体"/>
                <w:color w:val="auto"/>
              </w:rPr>
              <w:t>5.1</w:t>
            </w:r>
          </w:p>
        </w:tc>
        <w:tc>
          <w:tcPr>
            <w:tcW w:w="2255" w:type="dxa"/>
            <w:tcBorders>
              <w:top w:val="single" w:color="auto" w:sz="4" w:space="0"/>
              <w:left w:val="single" w:color="auto" w:sz="4" w:space="0"/>
              <w:bottom w:val="single" w:color="auto" w:sz="4" w:space="0"/>
              <w:right w:val="single" w:color="auto" w:sz="4" w:space="0"/>
            </w:tcBorders>
            <w:vAlign w:val="center"/>
          </w:tcPr>
          <w:p w14:paraId="4490B80F">
            <w:pPr>
              <w:kinsoku/>
              <w:spacing w:line="400" w:lineRule="exact"/>
              <w:jc w:val="center"/>
              <w:rPr>
                <w:rFonts w:ascii="宋体" w:hAnsi="宋体" w:cs="宋体"/>
                <w:color w:val="auto"/>
                <w:lang w:eastAsia="zh-CN"/>
              </w:rPr>
            </w:pPr>
            <w:r>
              <w:rPr>
                <w:rFonts w:hint="eastAsia" w:ascii="宋体" w:hAnsi="宋体" w:cs="宋体"/>
                <w:color w:val="auto"/>
                <w:lang w:eastAsia="zh-CN"/>
              </w:rPr>
              <w:t>提交响应文件</w:t>
            </w:r>
          </w:p>
          <w:p w14:paraId="6EEB7A77">
            <w:pPr>
              <w:kinsoku/>
              <w:spacing w:line="400" w:lineRule="exact"/>
              <w:jc w:val="center"/>
              <w:rPr>
                <w:rFonts w:ascii="宋体" w:hAnsi="宋体" w:cs="宋体"/>
                <w:color w:val="auto"/>
                <w:lang w:eastAsia="zh-CN"/>
              </w:rPr>
            </w:pPr>
            <w:r>
              <w:rPr>
                <w:rFonts w:hint="eastAsia" w:ascii="宋体" w:hAnsi="宋体" w:cs="宋体"/>
                <w:color w:val="auto"/>
                <w:lang w:eastAsia="zh-CN"/>
              </w:rPr>
              <w:t>截止时间</w:t>
            </w:r>
          </w:p>
        </w:tc>
        <w:tc>
          <w:tcPr>
            <w:tcW w:w="5952" w:type="dxa"/>
            <w:tcBorders>
              <w:top w:val="single" w:color="auto" w:sz="4" w:space="0"/>
              <w:left w:val="single" w:color="auto" w:sz="4" w:space="0"/>
              <w:bottom w:val="single" w:color="auto" w:sz="4" w:space="0"/>
              <w:right w:val="single" w:color="auto" w:sz="4" w:space="0"/>
            </w:tcBorders>
            <w:vAlign w:val="center"/>
          </w:tcPr>
          <w:p w14:paraId="35492D4D">
            <w:pPr>
              <w:kinsoku/>
              <w:spacing w:line="400" w:lineRule="exact"/>
              <w:rPr>
                <w:rFonts w:hint="default" w:ascii="宋体" w:hAnsi="宋体" w:eastAsia="宋体" w:cs="宋体"/>
                <w:color w:val="auto"/>
                <w:lang w:val="en-US" w:eastAsia="zh-CN"/>
              </w:rPr>
            </w:pPr>
            <w:r>
              <w:rPr>
                <w:rFonts w:hint="eastAsia" w:ascii="宋体" w:hAnsi="宋体" w:eastAsia="宋体" w:cs="宋体"/>
                <w:color w:val="auto"/>
                <w:lang w:val="en-US" w:eastAsia="zh-CN"/>
              </w:rPr>
              <w:t>详见磋商公告</w:t>
            </w:r>
          </w:p>
        </w:tc>
      </w:tr>
      <w:tr w14:paraId="77EF31DB">
        <w:tblPrEx>
          <w:tblCellMar>
            <w:top w:w="0" w:type="dxa"/>
            <w:left w:w="108" w:type="dxa"/>
            <w:bottom w:w="0" w:type="dxa"/>
            <w:right w:w="108" w:type="dxa"/>
          </w:tblCellMar>
        </w:tblPrEx>
        <w:trPr>
          <w:trHeight w:val="68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ACB14C9">
            <w:pPr>
              <w:kinsoku/>
              <w:spacing w:line="400" w:lineRule="exact"/>
              <w:jc w:val="center"/>
              <w:rPr>
                <w:rFonts w:ascii="宋体" w:hAnsi="宋体" w:cs="宋体"/>
                <w:color w:val="auto"/>
              </w:rPr>
            </w:pPr>
            <w:r>
              <w:rPr>
                <w:rFonts w:hint="eastAsia" w:ascii="宋体" w:hAnsi="宋体" w:cs="宋体"/>
                <w:color w:val="auto"/>
              </w:rPr>
              <w:t>5.1.1</w:t>
            </w:r>
          </w:p>
        </w:tc>
        <w:tc>
          <w:tcPr>
            <w:tcW w:w="2255" w:type="dxa"/>
            <w:tcBorders>
              <w:top w:val="single" w:color="auto" w:sz="4" w:space="0"/>
              <w:left w:val="single" w:color="auto" w:sz="4" w:space="0"/>
              <w:bottom w:val="single" w:color="auto" w:sz="4" w:space="0"/>
              <w:right w:val="single" w:color="auto" w:sz="4" w:space="0"/>
            </w:tcBorders>
            <w:vAlign w:val="center"/>
          </w:tcPr>
          <w:p w14:paraId="41D43448">
            <w:pPr>
              <w:kinsoku/>
              <w:spacing w:line="400" w:lineRule="exact"/>
              <w:jc w:val="center"/>
              <w:rPr>
                <w:rFonts w:ascii="宋体" w:hAnsi="宋体" w:cs="宋体"/>
                <w:color w:val="auto"/>
              </w:rPr>
            </w:pPr>
            <w:r>
              <w:rPr>
                <w:rFonts w:hint="eastAsia" w:ascii="宋体" w:hAnsi="宋体" w:cs="宋体"/>
                <w:color w:val="auto"/>
              </w:rPr>
              <w:t>磋商时间和地点</w:t>
            </w:r>
          </w:p>
        </w:tc>
        <w:tc>
          <w:tcPr>
            <w:tcW w:w="5952" w:type="dxa"/>
            <w:tcBorders>
              <w:top w:val="single" w:color="auto" w:sz="4" w:space="0"/>
              <w:left w:val="single" w:color="auto" w:sz="4" w:space="0"/>
              <w:bottom w:val="single" w:color="auto" w:sz="4" w:space="0"/>
              <w:right w:val="single" w:color="auto" w:sz="4" w:space="0"/>
            </w:tcBorders>
            <w:vAlign w:val="center"/>
          </w:tcPr>
          <w:p w14:paraId="01A3864F">
            <w:pPr>
              <w:kinsoku/>
              <w:spacing w:line="400" w:lineRule="exact"/>
              <w:rPr>
                <w:rFonts w:ascii="宋体" w:hAnsi="宋体" w:eastAsia="宋体" w:cs="宋体"/>
                <w:color w:val="auto"/>
                <w:lang w:eastAsia="zh-CN"/>
              </w:rPr>
            </w:pPr>
            <w:r>
              <w:rPr>
                <w:rFonts w:hint="eastAsia" w:ascii="宋体" w:hAnsi="宋体" w:cs="宋体"/>
                <w:color w:val="auto"/>
                <w:lang w:eastAsia="zh-CN"/>
              </w:rPr>
              <w:t>磋商时间：详见磋商公告</w:t>
            </w:r>
          </w:p>
          <w:p w14:paraId="504F0D2D">
            <w:pPr>
              <w:kinsoku/>
              <w:spacing w:line="400" w:lineRule="exact"/>
              <w:rPr>
                <w:rFonts w:ascii="宋体" w:hAnsi="宋体" w:eastAsia="宋体" w:cs="宋体"/>
                <w:color w:val="auto"/>
                <w:lang w:eastAsia="zh-CN"/>
              </w:rPr>
            </w:pPr>
            <w:r>
              <w:rPr>
                <w:rFonts w:hint="eastAsia" w:ascii="宋体" w:hAnsi="宋体" w:cs="宋体"/>
                <w:color w:val="auto"/>
                <w:lang w:eastAsia="zh-CN"/>
              </w:rPr>
              <w:t>磋商地点：详见磋商公告</w:t>
            </w:r>
          </w:p>
        </w:tc>
      </w:tr>
      <w:tr w14:paraId="1660AE92">
        <w:tblPrEx>
          <w:tblCellMar>
            <w:top w:w="0" w:type="dxa"/>
            <w:left w:w="108" w:type="dxa"/>
            <w:bottom w:w="0" w:type="dxa"/>
            <w:right w:w="108" w:type="dxa"/>
          </w:tblCellMar>
        </w:tblPrEx>
        <w:trPr>
          <w:trHeight w:val="544"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9827F0A">
            <w:pPr>
              <w:kinsoku/>
              <w:spacing w:line="400" w:lineRule="exact"/>
              <w:jc w:val="center"/>
              <w:rPr>
                <w:rFonts w:ascii="宋体" w:hAnsi="宋体" w:cs="宋体"/>
                <w:color w:val="auto"/>
              </w:rPr>
            </w:pPr>
            <w:r>
              <w:rPr>
                <w:rFonts w:hint="eastAsia" w:ascii="宋体" w:hAnsi="宋体" w:cs="宋体"/>
                <w:color w:val="auto"/>
              </w:rPr>
              <w:t>6.1</w:t>
            </w:r>
          </w:p>
        </w:tc>
        <w:tc>
          <w:tcPr>
            <w:tcW w:w="2255" w:type="dxa"/>
            <w:tcBorders>
              <w:top w:val="single" w:color="auto" w:sz="4" w:space="0"/>
              <w:left w:val="single" w:color="auto" w:sz="4" w:space="0"/>
              <w:bottom w:val="single" w:color="auto" w:sz="4" w:space="0"/>
              <w:right w:val="single" w:color="auto" w:sz="4" w:space="0"/>
            </w:tcBorders>
            <w:vAlign w:val="center"/>
          </w:tcPr>
          <w:p w14:paraId="5ECFBE3E">
            <w:pPr>
              <w:kinsoku/>
              <w:spacing w:line="400" w:lineRule="exact"/>
              <w:jc w:val="center"/>
              <w:rPr>
                <w:rFonts w:ascii="宋体" w:hAnsi="宋体" w:cs="宋体"/>
                <w:color w:val="auto"/>
              </w:rPr>
            </w:pPr>
            <w:r>
              <w:rPr>
                <w:rFonts w:hint="eastAsia" w:ascii="宋体" w:hAnsi="宋体" w:cs="宋体"/>
                <w:color w:val="auto"/>
              </w:rPr>
              <w:t>磋商小组的组建</w:t>
            </w:r>
          </w:p>
        </w:tc>
        <w:tc>
          <w:tcPr>
            <w:tcW w:w="5952" w:type="dxa"/>
            <w:tcBorders>
              <w:top w:val="single" w:color="auto" w:sz="4" w:space="0"/>
              <w:left w:val="single" w:color="auto" w:sz="4" w:space="0"/>
              <w:bottom w:val="single" w:color="auto" w:sz="4" w:space="0"/>
              <w:right w:val="single" w:color="auto" w:sz="4" w:space="0"/>
            </w:tcBorders>
            <w:vAlign w:val="center"/>
          </w:tcPr>
          <w:p w14:paraId="4E245E06">
            <w:pPr>
              <w:kinsoku/>
              <w:spacing w:line="400" w:lineRule="exact"/>
              <w:rPr>
                <w:rFonts w:ascii="宋体" w:hAnsi="宋体" w:cs="宋体"/>
                <w:color w:val="auto"/>
                <w:lang w:eastAsia="zh-CN"/>
              </w:rPr>
            </w:pPr>
            <w:r>
              <w:rPr>
                <w:rFonts w:ascii="宋体" w:hAnsi="宋体" w:cs="宋体"/>
                <w:color w:val="auto"/>
                <w:lang w:eastAsia="zh-CN"/>
              </w:rPr>
              <w:t>磋商小组构成：磋商小组评审专家由业主代表1名、相关专家库中随机抽取2名专家组成</w:t>
            </w:r>
            <w:r>
              <w:rPr>
                <w:rFonts w:hint="eastAsia" w:ascii="宋体" w:hAnsi="宋体" w:cs="宋体"/>
                <w:color w:val="auto"/>
                <w:lang w:eastAsia="zh-CN"/>
              </w:rPr>
              <w:t>，</w:t>
            </w:r>
            <w:r>
              <w:rPr>
                <w:rFonts w:ascii="宋体" w:hAnsi="宋体" w:cs="宋体"/>
                <w:color w:val="auto"/>
                <w:lang w:eastAsia="zh-CN"/>
              </w:rPr>
              <w:t>或者从相关专家库中随机抽取3名专家组成</w:t>
            </w:r>
            <w:r>
              <w:rPr>
                <w:rFonts w:hint="eastAsia" w:ascii="宋体" w:hAnsi="宋体" w:cs="宋体"/>
                <w:color w:val="auto"/>
                <w:lang w:eastAsia="zh-CN"/>
              </w:rPr>
              <w:t>。</w:t>
            </w:r>
          </w:p>
        </w:tc>
      </w:tr>
      <w:tr w14:paraId="22C160B9">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5CADB0A7">
            <w:pPr>
              <w:kinsoku/>
              <w:spacing w:line="400" w:lineRule="exact"/>
              <w:jc w:val="center"/>
              <w:rPr>
                <w:rFonts w:ascii="宋体" w:hAnsi="宋体" w:cs="宋体"/>
                <w:color w:val="auto"/>
              </w:rPr>
            </w:pPr>
            <w:r>
              <w:rPr>
                <w:rFonts w:hint="eastAsia" w:ascii="宋体" w:hAnsi="宋体" w:cs="宋体"/>
                <w:color w:val="auto"/>
              </w:rPr>
              <w:t>7.1</w:t>
            </w:r>
          </w:p>
        </w:tc>
        <w:tc>
          <w:tcPr>
            <w:tcW w:w="2255" w:type="dxa"/>
            <w:tcBorders>
              <w:top w:val="single" w:color="auto" w:sz="4" w:space="0"/>
              <w:left w:val="single" w:color="auto" w:sz="4" w:space="0"/>
              <w:bottom w:val="single" w:color="auto" w:sz="4" w:space="0"/>
              <w:right w:val="single" w:color="auto" w:sz="4" w:space="0"/>
            </w:tcBorders>
            <w:vAlign w:val="center"/>
          </w:tcPr>
          <w:p w14:paraId="49AEB293">
            <w:pPr>
              <w:kinsoku/>
              <w:spacing w:line="400" w:lineRule="exact"/>
              <w:jc w:val="center"/>
              <w:rPr>
                <w:rFonts w:ascii="宋体" w:hAnsi="宋体" w:cs="宋体"/>
                <w:color w:val="auto"/>
                <w:lang w:eastAsia="zh-CN"/>
              </w:rPr>
            </w:pPr>
            <w:r>
              <w:rPr>
                <w:rFonts w:hint="eastAsia" w:ascii="宋体" w:hAnsi="宋体" w:cs="宋体"/>
                <w:color w:val="auto"/>
                <w:lang w:eastAsia="zh-CN"/>
              </w:rPr>
              <w:t>是否授权磋商小组确定成交人</w:t>
            </w:r>
          </w:p>
        </w:tc>
        <w:tc>
          <w:tcPr>
            <w:tcW w:w="5952" w:type="dxa"/>
            <w:tcBorders>
              <w:top w:val="single" w:color="auto" w:sz="4" w:space="0"/>
              <w:left w:val="single" w:color="auto" w:sz="4" w:space="0"/>
              <w:bottom w:val="single" w:color="auto" w:sz="4" w:space="0"/>
              <w:right w:val="single" w:color="auto" w:sz="4" w:space="0"/>
            </w:tcBorders>
            <w:vAlign w:val="center"/>
          </w:tcPr>
          <w:p w14:paraId="2302B3A8">
            <w:pPr>
              <w:kinsoku/>
              <w:spacing w:line="400" w:lineRule="exact"/>
              <w:rPr>
                <w:rFonts w:ascii="宋体" w:hAnsi="宋体" w:cs="宋体"/>
                <w:color w:val="auto"/>
                <w:lang w:eastAsia="zh-CN"/>
              </w:rPr>
            </w:pPr>
            <w:r>
              <w:rPr>
                <w:rFonts w:hint="eastAsia" w:ascii="宋体" w:hAnsi="宋体" w:cs="宋体"/>
                <w:color w:val="auto"/>
                <w:lang w:eastAsia="zh-CN"/>
              </w:rPr>
              <w:t>否；推荐的成交候选人数：3名</w:t>
            </w:r>
          </w:p>
        </w:tc>
      </w:tr>
      <w:tr w14:paraId="120A6342">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318B3972">
            <w:pPr>
              <w:kinsoku/>
              <w:spacing w:line="400" w:lineRule="exact"/>
              <w:jc w:val="center"/>
              <w:rPr>
                <w:rFonts w:ascii="宋体" w:hAnsi="宋体" w:cs="宋体"/>
                <w:color w:val="auto"/>
              </w:rPr>
            </w:pPr>
            <w:r>
              <w:rPr>
                <w:rFonts w:hint="eastAsia" w:ascii="宋体" w:hAnsi="宋体" w:cs="宋体"/>
                <w:color w:val="auto"/>
              </w:rPr>
              <w:t>7.3</w:t>
            </w:r>
          </w:p>
        </w:tc>
        <w:tc>
          <w:tcPr>
            <w:tcW w:w="2255" w:type="dxa"/>
            <w:tcBorders>
              <w:top w:val="single" w:color="auto" w:sz="4" w:space="0"/>
              <w:left w:val="single" w:color="auto" w:sz="4" w:space="0"/>
              <w:bottom w:val="single" w:color="auto" w:sz="4" w:space="0"/>
              <w:right w:val="single" w:color="auto" w:sz="4" w:space="0"/>
            </w:tcBorders>
            <w:vAlign w:val="center"/>
          </w:tcPr>
          <w:p w14:paraId="50A7825C">
            <w:pPr>
              <w:kinsoku/>
              <w:spacing w:line="400" w:lineRule="exact"/>
              <w:jc w:val="center"/>
              <w:rPr>
                <w:rFonts w:ascii="宋体" w:hAnsi="宋体" w:cs="宋体"/>
                <w:color w:val="auto"/>
              </w:rPr>
            </w:pPr>
            <w:r>
              <w:rPr>
                <w:rFonts w:hint="eastAsia" w:ascii="宋体" w:hAnsi="宋体" w:cs="宋体"/>
                <w:color w:val="auto"/>
              </w:rPr>
              <w:t>履约保证金</w:t>
            </w:r>
          </w:p>
        </w:tc>
        <w:tc>
          <w:tcPr>
            <w:tcW w:w="5952" w:type="dxa"/>
            <w:tcBorders>
              <w:top w:val="single" w:color="auto" w:sz="4" w:space="0"/>
              <w:left w:val="single" w:color="auto" w:sz="4" w:space="0"/>
              <w:bottom w:val="single" w:color="auto" w:sz="4" w:space="0"/>
              <w:right w:val="single" w:color="auto" w:sz="4" w:space="0"/>
            </w:tcBorders>
            <w:vAlign w:val="center"/>
          </w:tcPr>
          <w:p w14:paraId="3502483D">
            <w:pPr>
              <w:kinsoku/>
              <w:spacing w:line="400" w:lineRule="exact"/>
              <w:rPr>
                <w:rFonts w:ascii="宋体" w:hAnsi="宋体" w:cs="宋体"/>
                <w:color w:val="auto"/>
              </w:rPr>
            </w:pPr>
            <w:r>
              <w:rPr>
                <w:rFonts w:hint="eastAsia" w:ascii="宋体" w:hAnsi="宋体" w:cs="宋体"/>
                <w:color w:val="auto"/>
              </w:rPr>
              <w:t>无</w:t>
            </w:r>
          </w:p>
        </w:tc>
      </w:tr>
      <w:tr w14:paraId="3796289B">
        <w:tblPrEx>
          <w:tblCellMar>
            <w:top w:w="0" w:type="dxa"/>
            <w:left w:w="108" w:type="dxa"/>
            <w:bottom w:w="0" w:type="dxa"/>
            <w:right w:w="108" w:type="dxa"/>
          </w:tblCellMar>
        </w:tblPrEx>
        <w:trPr>
          <w:trHeight w:val="735"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06FA639F">
            <w:pPr>
              <w:kinsoku/>
              <w:spacing w:line="400" w:lineRule="exact"/>
              <w:jc w:val="center"/>
              <w:rPr>
                <w:rFonts w:ascii="宋体" w:hAnsi="宋体" w:eastAsia="宋体" w:cs="宋体"/>
                <w:color w:val="auto"/>
                <w:lang w:eastAsia="zh-CN"/>
              </w:rPr>
            </w:pPr>
            <w:r>
              <w:rPr>
                <w:rFonts w:hint="eastAsia" w:ascii="宋体" w:hAnsi="宋体" w:cs="宋体"/>
                <w:color w:val="auto"/>
                <w:lang w:eastAsia="zh-CN"/>
              </w:rPr>
              <w:t>7.4</w:t>
            </w:r>
          </w:p>
        </w:tc>
        <w:tc>
          <w:tcPr>
            <w:tcW w:w="2255" w:type="dxa"/>
            <w:tcBorders>
              <w:top w:val="single" w:color="auto" w:sz="4" w:space="0"/>
              <w:left w:val="single" w:color="auto" w:sz="4" w:space="0"/>
              <w:bottom w:val="single" w:color="auto" w:sz="4" w:space="0"/>
              <w:right w:val="single" w:color="auto" w:sz="4" w:space="0"/>
            </w:tcBorders>
            <w:vAlign w:val="center"/>
          </w:tcPr>
          <w:p w14:paraId="734AB872">
            <w:pPr>
              <w:pStyle w:val="35"/>
              <w:ind w:firstLine="0"/>
              <w:jc w:val="center"/>
              <w:rPr>
                <w:rFonts w:ascii="宋体" w:hAnsi="宋体" w:cs="宋体"/>
                <w:szCs w:val="21"/>
              </w:rPr>
            </w:pPr>
            <w:r>
              <w:rPr>
                <w:rFonts w:hint="eastAsia" w:ascii="宋体" w:hAnsi="宋体" w:eastAsia="宋体"/>
                <w:kern w:val="2"/>
                <w:sz w:val="22"/>
                <w:szCs w:val="22"/>
              </w:rPr>
              <w:t>落实政府采购政策要求</w:t>
            </w:r>
          </w:p>
        </w:tc>
        <w:tc>
          <w:tcPr>
            <w:tcW w:w="5952" w:type="dxa"/>
            <w:tcBorders>
              <w:top w:val="single" w:color="auto" w:sz="4" w:space="0"/>
              <w:left w:val="single" w:color="auto" w:sz="4" w:space="0"/>
              <w:bottom w:val="single" w:color="auto" w:sz="4" w:space="0"/>
              <w:right w:val="single" w:color="auto" w:sz="4" w:space="0"/>
            </w:tcBorders>
            <w:vAlign w:val="center"/>
          </w:tcPr>
          <w:p w14:paraId="6FE9DDD0">
            <w:pPr>
              <w:pStyle w:val="35"/>
              <w:ind w:firstLine="0"/>
              <w:jc w:val="left"/>
              <w:rPr>
                <w:rFonts w:hint="eastAsia" w:ascii="宋体" w:hAnsi="宋体" w:eastAsia="微软雅黑" w:cs="宋体"/>
                <w:szCs w:val="21"/>
                <w:lang w:val="en-US" w:eastAsia="zh-CN"/>
              </w:rPr>
            </w:pPr>
            <w:r>
              <w:rPr>
                <w:rFonts w:hint="eastAsia" w:ascii="宋体" w:hAnsi="宋体" w:cs="宋体"/>
                <w:szCs w:val="21"/>
                <w:lang w:val="en-US" w:eastAsia="zh-CN"/>
              </w:rPr>
              <w:t>详见磋商公告</w:t>
            </w:r>
          </w:p>
        </w:tc>
      </w:tr>
      <w:tr w14:paraId="2525A950">
        <w:tblPrEx>
          <w:tblCellMar>
            <w:top w:w="0" w:type="dxa"/>
            <w:left w:w="108" w:type="dxa"/>
            <w:bottom w:w="0" w:type="dxa"/>
            <w:right w:w="108" w:type="dxa"/>
          </w:tblCellMar>
        </w:tblPrEx>
        <w:trPr>
          <w:trHeight w:val="9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68A5AF98">
            <w:pPr>
              <w:kinsoku/>
              <w:spacing w:line="400" w:lineRule="exact"/>
              <w:jc w:val="center"/>
              <w:rPr>
                <w:rFonts w:ascii="宋体" w:hAnsi="宋体" w:cs="宋体"/>
                <w:color w:val="auto"/>
                <w:lang w:eastAsia="zh-CN"/>
              </w:rPr>
            </w:pPr>
            <w:r>
              <w:rPr>
                <w:rFonts w:hint="eastAsia" w:ascii="宋体" w:hAnsi="宋体" w:cs="宋体"/>
                <w:color w:val="auto"/>
                <w:lang w:eastAsia="zh-CN"/>
              </w:rPr>
              <w:t>7.5</w:t>
            </w:r>
          </w:p>
        </w:tc>
        <w:tc>
          <w:tcPr>
            <w:tcW w:w="2255" w:type="dxa"/>
            <w:tcBorders>
              <w:top w:val="single" w:color="auto" w:sz="4" w:space="0"/>
              <w:left w:val="single" w:color="auto" w:sz="4" w:space="0"/>
              <w:bottom w:val="single" w:color="auto" w:sz="4" w:space="0"/>
              <w:right w:val="single" w:color="auto" w:sz="4" w:space="0"/>
            </w:tcBorders>
            <w:vAlign w:val="center"/>
          </w:tcPr>
          <w:p w14:paraId="69F4F202">
            <w:pPr>
              <w:pStyle w:val="35"/>
              <w:ind w:firstLine="0"/>
              <w:jc w:val="center"/>
              <w:rPr>
                <w:rFonts w:ascii="宋体" w:hAnsi="宋体" w:eastAsia="宋体"/>
                <w:kern w:val="2"/>
                <w:sz w:val="22"/>
                <w:szCs w:val="22"/>
              </w:rPr>
            </w:pPr>
            <w:r>
              <w:rPr>
                <w:rFonts w:hint="eastAsia" w:ascii="宋体" w:hAnsi="宋体" w:eastAsia="Arial" w:cs="宋体"/>
                <w:snapToGrid w:val="0"/>
                <w:color w:val="auto"/>
                <w:kern w:val="0"/>
                <w:sz w:val="21"/>
                <w:szCs w:val="21"/>
                <w:lang w:val="en-US" w:eastAsia="zh-CN" w:bidi="ar-SA"/>
              </w:rPr>
              <w:t>政府采购相关政策信息</w:t>
            </w:r>
          </w:p>
        </w:tc>
        <w:tc>
          <w:tcPr>
            <w:tcW w:w="5952" w:type="dxa"/>
            <w:tcBorders>
              <w:top w:val="single" w:color="auto" w:sz="4" w:space="0"/>
              <w:left w:val="single" w:color="auto" w:sz="4" w:space="0"/>
              <w:bottom w:val="single" w:color="auto" w:sz="4" w:space="0"/>
              <w:right w:val="single" w:color="auto" w:sz="4" w:space="0"/>
            </w:tcBorders>
            <w:vAlign w:val="center"/>
          </w:tcPr>
          <w:p w14:paraId="657410C1">
            <w:pPr>
              <w:pStyle w:val="22"/>
              <w:widowControl/>
              <w:shd w:val="clear" w:color="auto" w:fill="FFFFFF"/>
              <w:spacing w:line="360" w:lineRule="auto"/>
              <w:outlineLvl w:val="3"/>
              <w:rPr>
                <w:rFonts w:hint="eastAsia" w:ascii="宋体" w:hAnsi="宋体" w:eastAsia="Arial" w:cs="宋体"/>
                <w:snapToGrid w:val="0"/>
                <w:color w:val="auto"/>
                <w:sz w:val="21"/>
                <w:szCs w:val="21"/>
                <w:lang w:val="en-US" w:eastAsia="zh-CN" w:bidi="ar-SA"/>
              </w:rPr>
            </w:pPr>
            <w:r>
              <w:rPr>
                <w:rFonts w:hint="eastAsia" w:ascii="宋体" w:hAnsi="宋体" w:eastAsia="Arial" w:cs="宋体"/>
                <w:snapToGrid w:val="0"/>
                <w:color w:val="auto"/>
                <w:sz w:val="21"/>
                <w:szCs w:val="21"/>
                <w:lang w:val="en-US" w:eastAsia="zh-CN" w:bidi="ar-SA"/>
              </w:rPr>
              <w:t>扶持不发达地区和少数民族地区，促进中小企业和监狱企业发展扶持政策、政府强制采购节能产品、节能产品及环境标志产品优先采购。（本项目专门面向中小企业采购，供应商所投全部产品制造商须为中小微企业，监狱企业、残疾人福利性企业视同小型、微型企业）</w:t>
            </w:r>
          </w:p>
          <w:p w14:paraId="68FAABF9">
            <w:pPr>
              <w:pStyle w:val="22"/>
              <w:widowControl/>
              <w:shd w:val="clear" w:color="auto" w:fill="FFFFFF"/>
              <w:spacing w:line="360" w:lineRule="auto"/>
              <w:outlineLvl w:val="3"/>
            </w:pPr>
            <w:r>
              <w:rPr>
                <w:rFonts w:hint="eastAsia" w:ascii="宋体" w:hAnsi="宋体" w:eastAsia="Arial" w:cs="宋体"/>
                <w:snapToGrid w:val="0"/>
                <w:color w:val="auto"/>
                <w:sz w:val="21"/>
                <w:szCs w:val="21"/>
                <w:lang w:val="en-US" w:eastAsia="zh-CN" w:bidi="ar-SA"/>
              </w:rPr>
              <w:t>本项目专门面向中小企业采购，不再执行价格扣除政策</w:t>
            </w:r>
            <w:r>
              <w:rPr>
                <w:rFonts w:hint="eastAsia" w:ascii="宋体" w:hAnsi="宋体" w:eastAsia="宋体"/>
                <w:b w:val="0"/>
                <w:bCs w:val="0"/>
                <w:kern w:val="2"/>
                <w:sz w:val="22"/>
                <w:szCs w:val="22"/>
                <w:lang w:val="en-US" w:eastAsia="zh-CN"/>
              </w:rPr>
              <w:t>。</w:t>
            </w:r>
          </w:p>
        </w:tc>
      </w:tr>
      <w:tr w14:paraId="128F267B">
        <w:tblPrEx>
          <w:tblCellMar>
            <w:top w:w="0" w:type="dxa"/>
            <w:left w:w="108" w:type="dxa"/>
            <w:bottom w:w="0" w:type="dxa"/>
            <w:right w:w="108" w:type="dxa"/>
          </w:tblCellMar>
        </w:tblPrEx>
        <w:trPr>
          <w:trHeight w:val="538" w:hRule="atLeast"/>
          <w:jc w:val="center"/>
        </w:trPr>
        <w:tc>
          <w:tcPr>
            <w:tcW w:w="9292" w:type="dxa"/>
            <w:gridSpan w:val="3"/>
            <w:tcBorders>
              <w:top w:val="single" w:color="auto" w:sz="4" w:space="0"/>
              <w:left w:val="single" w:color="auto" w:sz="4" w:space="0"/>
              <w:bottom w:val="single" w:color="auto" w:sz="4" w:space="0"/>
              <w:right w:val="single" w:color="auto" w:sz="4" w:space="0"/>
            </w:tcBorders>
            <w:vAlign w:val="center"/>
          </w:tcPr>
          <w:p w14:paraId="024536E5">
            <w:pPr>
              <w:kinsoku/>
              <w:spacing w:line="400" w:lineRule="exact"/>
              <w:jc w:val="center"/>
              <w:rPr>
                <w:rFonts w:ascii="宋体" w:hAnsi="宋体" w:cs="宋体"/>
                <w:color w:val="auto"/>
              </w:rPr>
            </w:pPr>
            <w:r>
              <w:rPr>
                <w:rFonts w:hint="eastAsia" w:ascii="宋体" w:hAnsi="宋体" w:cs="宋体"/>
                <w:color w:val="auto"/>
              </w:rPr>
              <w:t>需要补充的其他内容</w:t>
            </w:r>
          </w:p>
        </w:tc>
      </w:tr>
      <w:tr w14:paraId="5D856B12">
        <w:tblPrEx>
          <w:tblCellMar>
            <w:top w:w="0" w:type="dxa"/>
            <w:left w:w="108" w:type="dxa"/>
            <w:bottom w:w="0" w:type="dxa"/>
            <w:right w:w="108" w:type="dxa"/>
          </w:tblCellMar>
        </w:tblPrEx>
        <w:trPr>
          <w:trHeight w:val="560" w:hRule="atLeast"/>
          <w:jc w:val="center"/>
        </w:trPr>
        <w:tc>
          <w:tcPr>
            <w:tcW w:w="1085" w:type="dxa"/>
            <w:tcBorders>
              <w:top w:val="single" w:color="auto" w:sz="4" w:space="0"/>
              <w:left w:val="single" w:color="auto" w:sz="4" w:space="0"/>
              <w:bottom w:val="single" w:color="auto" w:sz="4" w:space="0"/>
              <w:right w:val="single" w:color="auto" w:sz="4" w:space="0"/>
            </w:tcBorders>
            <w:vAlign w:val="center"/>
          </w:tcPr>
          <w:p w14:paraId="10528ADA">
            <w:pPr>
              <w:kinsoku/>
              <w:spacing w:line="400" w:lineRule="exact"/>
              <w:rPr>
                <w:rFonts w:ascii="宋体" w:hAnsi="宋体" w:eastAsia="宋体" w:cs="宋体"/>
                <w:color w:val="auto"/>
              </w:rPr>
            </w:pPr>
            <w:r>
              <w:rPr>
                <w:rFonts w:hint="eastAsia" w:ascii="宋体" w:hAnsi="宋体" w:eastAsia="宋体" w:cs="宋体"/>
                <w:color w:val="auto"/>
              </w:rPr>
              <w:t>解释权</w:t>
            </w:r>
          </w:p>
        </w:tc>
        <w:tc>
          <w:tcPr>
            <w:tcW w:w="8207" w:type="dxa"/>
            <w:gridSpan w:val="2"/>
            <w:tcBorders>
              <w:top w:val="single" w:color="auto" w:sz="4" w:space="0"/>
              <w:left w:val="single" w:color="auto" w:sz="4" w:space="0"/>
              <w:bottom w:val="single" w:color="auto" w:sz="4" w:space="0"/>
              <w:right w:val="single" w:color="auto" w:sz="4" w:space="0"/>
            </w:tcBorders>
            <w:vAlign w:val="center"/>
          </w:tcPr>
          <w:p w14:paraId="0B31F284">
            <w:pPr>
              <w:kinsoku/>
              <w:spacing w:line="400" w:lineRule="exact"/>
              <w:ind w:firstLine="420" w:firstLineChars="200"/>
              <w:rPr>
                <w:rFonts w:ascii="宋体" w:hAnsi="宋体" w:eastAsia="宋体" w:cs="宋体"/>
                <w:color w:val="auto"/>
                <w:lang w:eastAsia="zh-CN"/>
              </w:rPr>
            </w:pPr>
            <w:r>
              <w:rPr>
                <w:rFonts w:hint="eastAsia" w:ascii="宋体" w:hAnsi="宋体" w:eastAsia="宋体" w:cs="宋体"/>
                <w:color w:val="auto"/>
                <w:lang w:eastAsia="zh-CN"/>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206DA04">
        <w:tblPrEx>
          <w:tblCellMar>
            <w:top w:w="0" w:type="dxa"/>
            <w:left w:w="108" w:type="dxa"/>
            <w:bottom w:w="0" w:type="dxa"/>
            <w:right w:w="108" w:type="dxa"/>
          </w:tblCellMar>
        </w:tblPrEx>
        <w:trPr>
          <w:trHeight w:val="560" w:hRule="atLeast"/>
          <w:jc w:val="center"/>
        </w:trPr>
        <w:tc>
          <w:tcPr>
            <w:tcW w:w="1085" w:type="dxa"/>
            <w:tcBorders>
              <w:top w:val="single" w:color="auto" w:sz="4" w:space="0"/>
              <w:left w:val="single" w:color="auto" w:sz="4" w:space="0"/>
              <w:bottom w:val="single" w:color="auto" w:sz="4" w:space="0"/>
              <w:right w:val="single" w:color="auto" w:sz="4" w:space="0"/>
            </w:tcBorders>
          </w:tcPr>
          <w:p w14:paraId="068DC616">
            <w:pPr>
              <w:kinsoku/>
              <w:spacing w:line="400" w:lineRule="exact"/>
              <w:rPr>
                <w:rFonts w:ascii="宋体" w:hAnsi="宋体" w:eastAsia="宋体" w:cs="宋体"/>
                <w:color w:val="auto"/>
                <w:lang w:eastAsia="zh-CN"/>
              </w:rPr>
            </w:pPr>
            <w:bookmarkStart w:id="37" w:name="_Toc31181"/>
            <w:bookmarkStart w:id="38" w:name="_Toc144974497"/>
            <w:bookmarkStart w:id="39" w:name="_Toc24266"/>
            <w:bookmarkStart w:id="40" w:name="_Toc152042305"/>
            <w:bookmarkStart w:id="41" w:name="_Toc152045529"/>
            <w:bookmarkStart w:id="42" w:name="_Toc466298091"/>
            <w:bookmarkStart w:id="43" w:name="_Toc10694"/>
            <w:bookmarkStart w:id="44" w:name="_Toc455080108"/>
          </w:p>
          <w:p w14:paraId="3E43AC46">
            <w:pPr>
              <w:kinsoku/>
              <w:spacing w:line="400" w:lineRule="exact"/>
              <w:rPr>
                <w:rFonts w:ascii="宋体" w:hAnsi="宋体" w:eastAsia="宋体" w:cs="宋体"/>
                <w:color w:val="auto"/>
                <w:lang w:eastAsia="zh-CN"/>
              </w:rPr>
            </w:pPr>
          </w:p>
          <w:p w14:paraId="6906B009">
            <w:pPr>
              <w:kinsoku/>
              <w:spacing w:line="400" w:lineRule="exact"/>
              <w:rPr>
                <w:rFonts w:ascii="宋体" w:hAnsi="宋体" w:eastAsia="宋体" w:cs="宋体"/>
                <w:color w:val="auto"/>
                <w:lang w:eastAsia="zh-CN"/>
              </w:rPr>
            </w:pPr>
          </w:p>
          <w:p w14:paraId="1328CB86">
            <w:pPr>
              <w:kinsoku/>
              <w:spacing w:line="400" w:lineRule="exact"/>
              <w:rPr>
                <w:rFonts w:ascii="宋体" w:hAnsi="宋体" w:eastAsia="宋体" w:cs="宋体"/>
                <w:color w:val="auto"/>
                <w:lang w:eastAsia="zh-CN"/>
              </w:rPr>
            </w:pPr>
          </w:p>
          <w:p w14:paraId="16151007">
            <w:pPr>
              <w:kinsoku/>
              <w:spacing w:line="400" w:lineRule="exact"/>
              <w:rPr>
                <w:rFonts w:ascii="宋体" w:hAnsi="宋体" w:eastAsia="宋体" w:cs="宋体"/>
                <w:color w:val="auto"/>
                <w:lang w:eastAsia="zh-CN"/>
              </w:rPr>
            </w:pPr>
          </w:p>
          <w:p w14:paraId="41299EAF">
            <w:pPr>
              <w:kinsoku/>
              <w:spacing w:line="400" w:lineRule="exact"/>
              <w:rPr>
                <w:rFonts w:ascii="宋体" w:hAnsi="宋体" w:eastAsia="宋体" w:cs="宋体"/>
                <w:color w:val="auto"/>
                <w:lang w:eastAsia="zh-CN"/>
              </w:rPr>
            </w:pPr>
          </w:p>
          <w:p w14:paraId="017136EC">
            <w:pPr>
              <w:kinsoku/>
              <w:spacing w:line="400" w:lineRule="exact"/>
              <w:rPr>
                <w:rFonts w:ascii="宋体" w:hAnsi="宋体" w:eastAsia="宋体" w:cs="宋体"/>
                <w:color w:val="auto"/>
                <w:lang w:eastAsia="zh-CN"/>
              </w:rPr>
            </w:pPr>
          </w:p>
          <w:p w14:paraId="34E88E3A">
            <w:pPr>
              <w:kinsoku/>
              <w:spacing w:line="400" w:lineRule="exact"/>
              <w:rPr>
                <w:rFonts w:ascii="宋体" w:hAnsi="宋体" w:eastAsia="宋体" w:cs="宋体"/>
                <w:color w:val="auto"/>
                <w:lang w:eastAsia="zh-CN"/>
              </w:rPr>
            </w:pPr>
          </w:p>
          <w:p w14:paraId="6DE6EFE5">
            <w:pPr>
              <w:kinsoku/>
              <w:spacing w:line="400" w:lineRule="exact"/>
              <w:rPr>
                <w:rFonts w:ascii="宋体" w:hAnsi="宋体" w:eastAsia="宋体" w:cs="宋体"/>
                <w:color w:val="auto"/>
                <w:lang w:eastAsia="zh-CN"/>
              </w:rPr>
            </w:pPr>
          </w:p>
          <w:p w14:paraId="29178AF0">
            <w:pPr>
              <w:kinsoku/>
              <w:spacing w:line="400" w:lineRule="exact"/>
              <w:rPr>
                <w:rFonts w:ascii="宋体" w:hAnsi="宋体" w:eastAsia="宋体" w:cs="宋体"/>
                <w:color w:val="auto"/>
                <w:lang w:eastAsia="zh-CN"/>
              </w:rPr>
            </w:pPr>
          </w:p>
          <w:p w14:paraId="5FEEA559">
            <w:pPr>
              <w:kinsoku/>
              <w:spacing w:line="400" w:lineRule="exact"/>
              <w:rPr>
                <w:rFonts w:ascii="宋体" w:hAnsi="宋体" w:eastAsia="宋体" w:cs="宋体"/>
                <w:color w:val="auto"/>
                <w:lang w:eastAsia="zh-CN"/>
              </w:rPr>
            </w:pPr>
          </w:p>
          <w:p w14:paraId="11502F39">
            <w:pPr>
              <w:kinsoku/>
              <w:spacing w:line="400" w:lineRule="exact"/>
              <w:rPr>
                <w:rFonts w:ascii="宋体" w:hAnsi="宋体" w:eastAsia="宋体" w:cs="宋体"/>
                <w:color w:val="auto"/>
                <w:lang w:eastAsia="zh-CN"/>
              </w:rPr>
            </w:pPr>
          </w:p>
          <w:p w14:paraId="3014DC39">
            <w:pPr>
              <w:kinsoku/>
              <w:spacing w:line="400" w:lineRule="exact"/>
              <w:rPr>
                <w:rFonts w:ascii="宋体" w:hAnsi="宋体" w:eastAsia="宋体" w:cs="宋体"/>
                <w:color w:val="auto"/>
                <w:lang w:eastAsia="zh-CN"/>
              </w:rPr>
            </w:pPr>
          </w:p>
          <w:p w14:paraId="35BBF74D">
            <w:pPr>
              <w:kinsoku/>
              <w:spacing w:line="400" w:lineRule="exact"/>
              <w:rPr>
                <w:rFonts w:ascii="宋体" w:hAnsi="宋体" w:eastAsia="宋体" w:cs="宋体"/>
                <w:color w:val="auto"/>
                <w:lang w:eastAsia="zh-CN"/>
              </w:rPr>
            </w:pPr>
          </w:p>
          <w:p w14:paraId="186A91EB">
            <w:pPr>
              <w:kinsoku/>
              <w:spacing w:line="400" w:lineRule="exact"/>
              <w:rPr>
                <w:rFonts w:ascii="宋体" w:hAnsi="宋体" w:eastAsia="宋体" w:cs="宋体"/>
                <w:color w:val="auto"/>
              </w:rPr>
            </w:pPr>
            <w:r>
              <w:rPr>
                <w:rFonts w:hint="eastAsia" w:ascii="宋体" w:hAnsi="宋体" w:eastAsia="宋体" w:cs="宋体"/>
                <w:color w:val="auto"/>
              </w:rPr>
              <w:t>特别提醒</w:t>
            </w:r>
          </w:p>
          <w:p w14:paraId="5D376E3B">
            <w:pPr>
              <w:kinsoku/>
              <w:spacing w:line="400" w:lineRule="exact"/>
              <w:rPr>
                <w:rFonts w:ascii="宋体" w:hAnsi="宋体" w:eastAsia="宋体" w:cs="宋体"/>
                <w:color w:val="auto"/>
              </w:rPr>
            </w:pPr>
          </w:p>
          <w:p w14:paraId="458B9540">
            <w:pPr>
              <w:kinsoku/>
              <w:spacing w:line="400" w:lineRule="exact"/>
              <w:rPr>
                <w:rFonts w:ascii="宋体" w:hAnsi="宋体" w:eastAsia="宋体" w:cs="宋体"/>
                <w:color w:val="auto"/>
              </w:rPr>
            </w:pPr>
          </w:p>
          <w:p w14:paraId="7CB5A03C">
            <w:pPr>
              <w:kinsoku/>
              <w:spacing w:line="400" w:lineRule="exact"/>
              <w:rPr>
                <w:rFonts w:ascii="宋体" w:hAnsi="宋体" w:eastAsia="宋体" w:cs="宋体"/>
                <w:color w:val="auto"/>
              </w:rPr>
            </w:pPr>
          </w:p>
          <w:p w14:paraId="42BF9A87">
            <w:pPr>
              <w:kinsoku/>
              <w:spacing w:line="400" w:lineRule="exact"/>
              <w:rPr>
                <w:rFonts w:ascii="宋体" w:hAnsi="宋体" w:eastAsia="宋体" w:cs="宋体"/>
                <w:color w:val="auto"/>
              </w:rPr>
            </w:pPr>
          </w:p>
          <w:p w14:paraId="4925BD07">
            <w:pPr>
              <w:kinsoku/>
              <w:spacing w:line="400" w:lineRule="exact"/>
              <w:rPr>
                <w:rFonts w:ascii="宋体" w:hAnsi="宋体" w:eastAsia="宋体" w:cs="宋体"/>
                <w:color w:val="auto"/>
              </w:rPr>
            </w:pPr>
          </w:p>
        </w:tc>
        <w:tc>
          <w:tcPr>
            <w:tcW w:w="8207" w:type="dxa"/>
            <w:gridSpan w:val="2"/>
            <w:tcBorders>
              <w:top w:val="single" w:color="auto" w:sz="4" w:space="0"/>
              <w:left w:val="single" w:color="auto" w:sz="4" w:space="0"/>
              <w:bottom w:val="single" w:color="auto" w:sz="4" w:space="0"/>
              <w:right w:val="single" w:color="auto" w:sz="4" w:space="0"/>
            </w:tcBorders>
          </w:tcPr>
          <w:p w14:paraId="28C36E8B">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本项目实行不见面开评标，投标人不需要再到现场（需 要现场演示或样品展示的除外）关于实行全过程不见面 交易的通知，具体内容请详见交易中心2019 年12月 31 日首页-通知公告</w:t>
            </w:r>
          </w:p>
          <w:p w14:paraId="0D483C68">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（一）登录开标大厅流程</w:t>
            </w:r>
          </w:p>
          <w:p w14:paraId="09EFD2B3">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1、投标人登录自己账号进入商丘市公共资源交易平台， 根据项目选择主体角色和要进入的项目，点击“操作 ” —“我要投标 ”—“操作 ”—“在线开标 ”进入开标大厅，详见下图操作。</w:t>
            </w:r>
          </w:p>
          <w:p w14:paraId="5E4E7FC3">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2、投标人请在开标前一小时之后进入，比如9点开标，请在8点至9点之间进入，请不要提前进入，也不要太晚进入，以免签到时间不足，导致未能成功签到。</w:t>
            </w:r>
          </w:p>
          <w:p w14:paraId="6F8A17C8">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（二）签到流程</w:t>
            </w:r>
          </w:p>
          <w:p w14:paraId="43819117">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进入开标大厅后，投标人的界面为直播界面，当前页面 随着代理公司的点击而变化，页面自动刷新（刷新间隔 时间为20秒），右下方有四个按钮，分别为投标签到、 在线澄清、解密。</w:t>
            </w:r>
          </w:p>
          <w:p w14:paraId="192C6714">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投标人点击投标签到，会弹出签到页面，投标人名称和 社会统一信用代码可以手动填写也可以读取CA，请CA中仍然是组织机构代码的单位在参与投标前来中心更换</w:t>
            </w:r>
          </w:p>
          <w:p w14:paraId="64045656">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成社会统一信用代码，下面的签到人和联系电话手动输 入，此号码为在该项目开标评标过程中的消息接收号码， 应保持畅通，输入完成后点击保存即签到成功。</w:t>
            </w:r>
          </w:p>
          <w:p w14:paraId="1D575318">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信息提醒以交易平台为准，投标人应保持交易平台处于 登录状态并实时关注。手机短信提醒功能是系统开发的 附加功能，无论因为任何原因导致投标人没有接到手机 短信提醒而导致不良后果，中心均不承担责任。</w:t>
            </w:r>
          </w:p>
          <w:p w14:paraId="5186856F">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（三）投标文件解密流程</w:t>
            </w:r>
          </w:p>
          <w:p w14:paraId="07551FE6">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1、CA 证书解密</w:t>
            </w:r>
          </w:p>
          <w:p w14:paraId="17DDD4B6">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投标人首先确保电脑已经正常安装投标人工具箱且 BJCA 证书助手处于打开状态，插入CA 锁。在投标截止 时间后，解密截止时间前点击右下角解密会跳转到解密页面，输入解密工程编号，此编号为标段编号，投标人可以从我要投标的页面复制粘贴进去，然后点击搜索， 即可出来项目和公司信息，点击解密，输入CA锁的密码 即可解密。</w:t>
            </w:r>
          </w:p>
          <w:p w14:paraId="31E7A214">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2、评标澄清答疑</w:t>
            </w:r>
          </w:p>
          <w:p w14:paraId="6869602C">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专家在评标过程中如果有问题需要代理公司及投标人解答，可以在评标系统页面点击澄清答疑，选择代理公司或者投标人进行问题描述，然后设置回答时间后点击提交。提交之后代理公司或者投标人可以点击各自的交易平台右上角的澄清答疑按钮。进入项目选择页面。选择要进行回答的项目，里面会显示专家提问的问题，专家问题可以预览和下载。可以在答疑文件信息选项里提交回答文件（文件格式为PDF），确认无误后提交，提交之后无法修改。</w:t>
            </w:r>
          </w:p>
          <w:p w14:paraId="78ED15B1">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1、本次项目采用不见面开评标，投标人不需要再到现场，投标人通过互联网登录交易平台自助完成投标签到、投标文件解密及澄清答疑等操作，具体流程详见附件“不见面开标系统投标人操作及说明 ”。</w:t>
            </w:r>
          </w:p>
          <w:p w14:paraId="7700DF31">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2、投标人需根据招标文件要求，如有需提供企业资质、 业绩、获奖等资料的，投标人应将相应涉及评审的相关 客观资料上传至市场主体诚信库对应位置（涉密的除外），由评标评审专家予以认定，没有上传的视同没有 提供相应评审资料，不再要求投标人现场提交原件。</w:t>
            </w:r>
          </w:p>
          <w:p w14:paraId="598D8780">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3、投标人应根据《商丘市公共资源交易平台操作指南2019-12-31版本》，按照招标文件要求，将本单位相关 资料上传至市场主体库相应位置，为确保材料上传成功并方便评标评审专家查找核对，投标人应在开标前完成资料上传并在投标文件中列明资料上传位置，市场主体诚信库中市场主体信息以评标评审专家核对时为准，核对后主体库信息发生的任何变更均不再作为评标依据。</w:t>
            </w:r>
          </w:p>
          <w:p w14:paraId="5CD0EDDF">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4、当中标通知书发出后，中标人可以登陆交易平台点击 对应项目操作—我要投标—操作—下载中标通知书完成自行下载。</w:t>
            </w:r>
          </w:p>
          <w:p w14:paraId="469C3A40">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5、投标人制作投标文件，请使用新版投标人工具箱，具 体请查阅商丘市公共资源交易中心网站 (</w:t>
            </w:r>
            <w:r>
              <w:fldChar w:fldCharType="begin"/>
            </w:r>
            <w:r>
              <w:instrText xml:space="preserve"> HYPERLINK "http://ggzyjy.shangqiu.gov.cn" </w:instrText>
            </w:r>
            <w:r>
              <w:fldChar w:fldCharType="separate"/>
            </w:r>
            <w:r>
              <w:rPr>
                <w:rFonts w:hint="eastAsia" w:ascii="宋体" w:hAnsi="宋体" w:eastAsia="宋体" w:cs="宋体"/>
                <w:color w:val="auto"/>
                <w:lang w:eastAsia="zh-CN"/>
              </w:rPr>
              <w:t>http://ggzyjy.shangqiu.gov.cn</w:t>
            </w:r>
            <w:r>
              <w:rPr>
                <w:rFonts w:hint="eastAsia" w:ascii="宋体" w:hAnsi="宋体" w:eastAsia="宋体" w:cs="宋体"/>
                <w:color w:val="auto"/>
                <w:lang w:eastAsia="zh-CN"/>
              </w:rPr>
              <w:fldChar w:fldCharType="end"/>
            </w:r>
            <w:r>
              <w:rPr>
                <w:rFonts w:hint="eastAsia" w:ascii="宋体" w:hAnsi="宋体" w:eastAsia="宋体" w:cs="宋体"/>
                <w:color w:val="auto"/>
                <w:lang w:eastAsia="zh-CN"/>
              </w:rPr>
              <w:t xml:space="preserve">）点击通知公告栏目。 </w:t>
            </w:r>
          </w:p>
          <w:p w14:paraId="43605BA2">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6、新增加开标过程在线询问功能，在开标结束之前，投标 人可通过开标大厅在线询问按钮与代理机构在线交流。</w:t>
            </w:r>
          </w:p>
          <w:p w14:paraId="335FDB21">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7、开标大厅增加开标过程直播功能，投标人安装直播插件后，在代理机构开启直播后，投标人可以点击查看直播可实时查看代理机构开标过程。直播功能插件压缩包附件下载后直接解压，并将解压后的文件放入电脑 C 盘 Windows 文件夹中即可。</w:t>
            </w:r>
          </w:p>
          <w:p w14:paraId="59ECDB27">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8、新增加开标结束提示信息，代理机构点击开标结束后，投标人在开标大厅和交易平台会收到项目开标已结束的提醒。</w:t>
            </w:r>
          </w:p>
          <w:p w14:paraId="6FC05D0C">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9、新增加市场主体资信库锁定功能，市场主体参与项目评审期间，市场主体资信库无法更新上传内容的设定，锁定时间为开标签到至评审结束。锁定期间，市场主体资信库信息提交发布时会提示：参与的项目正在评审，</w:t>
            </w:r>
          </w:p>
          <w:p w14:paraId="0088B3AC">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主体诚信库已被锁定，不可编辑，评审结束后自动解锁。 因此友情提示各市场主体，如有多天连续参与项目交易时，建议将主体库信息根据项目招标文件要求一次更新完成，以免造成不利后果。</w:t>
            </w:r>
          </w:p>
          <w:p w14:paraId="7F611EBE">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10、交易平台菜单栏目更新，把澄清答疑等按钮统一集中在了快捷导航里面。各市场主体在使用过程中遇到自行无法解决技术问题时请及时咨询，技术服务电话0370-2853693。</w:t>
            </w:r>
          </w:p>
          <w:p w14:paraId="08BB9B96">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11.为贯彻落实《河南省营商环境优化提升行动方案(2022 版)》 (豫营商〔2022〕1 号)、《2022 年全省公共 资源交易管理工作要点》 (豫公管委〔2022〕2 号)、《河 南省财政厅关于防范供应商串通投标促进政府采购公平竞争的通知》、《河南省财政厅关于防范供应商串通投标促进政府采购公平竞争的通知》(豫财购〔2021〕6号) 精神，按照商丘市公共资源交易管理办公室《关于进一步使用大数据分析监测预警信息的通知》要求，发挥市公共资源交易中心大数据分析系统监测预警作用，进一步优化公共资源交易领域营商环境，维护公平公正、竞争有序的市场秩序，防范和惩治串通投标等不正当竞争行为，现将启用大数据分析监测预警功能，有关事项通知如下：</w:t>
            </w:r>
          </w:p>
          <w:p w14:paraId="2217C4D5">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一、分析监测预警情形：</w:t>
            </w:r>
          </w:p>
          <w:p w14:paraId="1FC8A06E">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对参与本项目同一标段的投标人存在下列情形的，大数 据分析系统会将监测信息在电子评标系统中给予预警  提示存在下列情形的，大数据分析系统会将监测信息在 电子评标系统中给予预警提示：</w:t>
            </w:r>
          </w:p>
          <w:p w14:paraId="740A1EFD">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1、不同投标人的电子投标文件上传计算机的网卡MAC地 址、CPU 序列号和硬盘序列号等硬件信息相同；序列号和 硬盘序列号等硬件信息相同；</w:t>
            </w:r>
          </w:p>
          <w:p w14:paraId="3F7546D5">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2、不同投标人的电子投标文件由同一电子设备编制或者上传；</w:t>
            </w:r>
          </w:p>
          <w:p w14:paraId="1252F7FF">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3、不同投标人的电子投标文件由同一IP地址上传；</w:t>
            </w:r>
          </w:p>
          <w:p w14:paraId="0BF579F8">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4、不同投标人的电子投标文件工程预算由同一预算软件 (同一把预算锁)编制。</w:t>
            </w:r>
          </w:p>
          <w:p w14:paraId="24798973">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存在上述预警情形之一的，其投标文件无效。</w:t>
            </w:r>
          </w:p>
          <w:p w14:paraId="48E403FE">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二、关于启用新版招标人工具箱和投标人工具箱 2024-12-24（V6.8.0)的通知，具体内容请详见商丘市公共资源交易中心（2024.12.24）首页-通知公告。</w:t>
            </w:r>
          </w:p>
          <w:p w14:paraId="3CAB62DE">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投标人在制作投标文件时，投标人使用的工具箱版本需 与代理使用同一版本的投标工具箱，请及时关注招标代理公司使用的招标文件制作工具版本，并使用同一版本号的投标文件制作工具。</w:t>
            </w:r>
          </w:p>
          <w:p w14:paraId="563FDA4A">
            <w:pPr>
              <w:kinsoku/>
              <w:spacing w:line="400" w:lineRule="exact"/>
              <w:rPr>
                <w:rFonts w:ascii="宋体" w:hAnsi="宋体" w:eastAsia="宋体" w:cs="宋体"/>
                <w:color w:val="auto"/>
                <w:lang w:eastAsia="zh-CN"/>
              </w:rPr>
            </w:pPr>
            <w:r>
              <w:rPr>
                <w:rFonts w:hint="eastAsia" w:ascii="宋体" w:hAnsi="宋体" w:eastAsia="宋体" w:cs="宋体"/>
                <w:color w:val="auto"/>
                <w:lang w:eastAsia="zh-CN"/>
              </w:rPr>
              <w:t>本文件未尽事宜，按国家有关法律、法规执行。</w:t>
            </w:r>
          </w:p>
        </w:tc>
      </w:tr>
    </w:tbl>
    <w:p w14:paraId="2E98E717">
      <w:pPr>
        <w:rPr>
          <w:rFonts w:hint="eastAsia"/>
          <w:b/>
          <w:bCs/>
          <w:lang w:eastAsia="zh-CN"/>
        </w:rPr>
      </w:pPr>
      <w:r>
        <w:rPr>
          <w:rFonts w:hint="eastAsia"/>
          <w:b/>
          <w:bCs w:val="0"/>
          <w:sz w:val="24"/>
          <w:szCs w:val="24"/>
          <w:lang w:eastAsia="zh-CN"/>
        </w:rPr>
        <w:t>备注</w:t>
      </w:r>
      <w:r>
        <w:rPr>
          <w:rFonts w:hint="eastAsia"/>
          <w:b/>
          <w:bCs w:val="0"/>
          <w:sz w:val="36"/>
          <w:szCs w:val="36"/>
          <w:lang w:eastAsia="zh-CN"/>
        </w:rPr>
        <w:t>：</w:t>
      </w:r>
      <w:r>
        <w:rPr>
          <w:rFonts w:hint="eastAsia"/>
          <w:b/>
          <w:bCs/>
          <w:lang w:eastAsia="zh-CN"/>
        </w:rPr>
        <w:t>各投标企业应根据项目招标文件要求，将</w:t>
      </w:r>
      <w:r>
        <w:rPr>
          <w:rFonts w:hint="eastAsia" w:ascii="宋体" w:hAnsi="宋体" w:eastAsia="宋体" w:cs="宋体"/>
          <w:b/>
          <w:bCs/>
          <w:lang w:eastAsia="zh-CN"/>
        </w:rPr>
        <w:t>企业资质、业绩、安全生产许可证（如有）、人员、社保、财务资料</w:t>
      </w:r>
      <w:r>
        <w:rPr>
          <w:rFonts w:hint="eastAsia"/>
          <w:b/>
          <w:bCs/>
          <w:lang w:eastAsia="zh-CN"/>
        </w:rPr>
        <w:t>上传市场主题库对应位置，通过公开展示、修改留痕，接受社会监督，投标文件中需附与“市场主体诚信库上传资格证明文件一致的复印件或扫描件，否则视为不能通过资格评审或不得分。招标文件中所要求证件、证明等，投标人应根据《商丘市公共资源交易平台操作指南2019-12-31版本》要求上传至“市场主体诚信库”对应位置</w:t>
      </w:r>
    </w:p>
    <w:p w14:paraId="4B8F5293">
      <w:pPr>
        <w:kinsoku/>
        <w:spacing w:line="400" w:lineRule="exact"/>
        <w:outlineLvl w:val="1"/>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注：响应人须知正文与响应人须知前附表相应条款不一致时，以须知前附表内容为准。</w:t>
      </w:r>
    </w:p>
    <w:p w14:paraId="1C14DACB">
      <w:pPr>
        <w:pStyle w:val="2"/>
        <w:rPr>
          <w:lang w:eastAsia="zh-CN"/>
        </w:rPr>
        <w:sectPr>
          <w:footerReference r:id="rId5" w:type="default"/>
          <w:pgSz w:w="11907" w:h="16840"/>
          <w:pgMar w:top="1431" w:right="1015" w:bottom="981" w:left="1180" w:header="0" w:footer="746" w:gutter="0"/>
          <w:cols w:space="720" w:num="1"/>
        </w:sectPr>
      </w:pPr>
    </w:p>
    <w:p w14:paraId="02B6DA22">
      <w:pPr>
        <w:pStyle w:val="2"/>
        <w:rPr>
          <w:rFonts w:hint="eastAsia"/>
          <w:lang w:val="en-US" w:eastAsia="zh-CN"/>
        </w:rPr>
      </w:pPr>
    </w:p>
    <w:p w14:paraId="30837D25">
      <w:pPr>
        <w:kinsoku/>
        <w:spacing w:line="400" w:lineRule="exact"/>
        <w:outlineLvl w:val="1"/>
        <w:rPr>
          <w:color w:val="auto"/>
          <w:sz w:val="24"/>
          <w:szCs w:val="24"/>
          <w:lang w:eastAsia="zh-CN"/>
        </w:rPr>
      </w:pPr>
      <w:r>
        <w:rPr>
          <w:rFonts w:hint="eastAsia" w:ascii="宋体" w:hAnsi="宋体" w:eastAsia="宋体" w:cs="宋体"/>
          <w:color w:val="auto"/>
          <w:lang w:eastAsia="zh-CN"/>
        </w:rPr>
        <w:t>1. 总则</w:t>
      </w:r>
      <w:bookmarkEnd w:id="37"/>
      <w:bookmarkEnd w:id="38"/>
      <w:bookmarkEnd w:id="39"/>
      <w:bookmarkEnd w:id="40"/>
      <w:bookmarkEnd w:id="41"/>
      <w:bookmarkEnd w:id="42"/>
      <w:bookmarkEnd w:id="43"/>
      <w:bookmarkEnd w:id="44"/>
    </w:p>
    <w:p w14:paraId="55510432">
      <w:pPr>
        <w:pStyle w:val="37"/>
        <w:spacing w:line="360" w:lineRule="auto"/>
        <w:ind w:firstLine="422" w:firstLineChars="0"/>
        <w:outlineLvl w:val="9"/>
        <w:rPr>
          <w:rFonts w:ascii="宋体" w:hAnsi="宋体" w:eastAsia="宋体"/>
          <w:b/>
          <w:bCs/>
          <w:color w:val="auto"/>
          <w:sz w:val="21"/>
          <w:szCs w:val="21"/>
          <w:lang w:eastAsia="zh-CN"/>
        </w:rPr>
      </w:pPr>
      <w:bookmarkStart w:id="45" w:name="_Toc318450675"/>
      <w:bookmarkStart w:id="46" w:name="_Toc31404"/>
      <w:bookmarkStart w:id="47" w:name="_Toc29023"/>
      <w:bookmarkStart w:id="48" w:name="_Toc466298092"/>
      <w:bookmarkStart w:id="49" w:name="_Toc658"/>
      <w:bookmarkStart w:id="50" w:name="_Toc10273"/>
      <w:bookmarkStart w:id="51" w:name="_Toc281380952"/>
      <w:bookmarkStart w:id="52" w:name="_Toc15709"/>
      <w:bookmarkStart w:id="53" w:name="_Toc21266"/>
      <w:bookmarkStart w:id="54" w:name="_Toc6999"/>
      <w:bookmarkStart w:id="55" w:name="_Toc455867769"/>
      <w:bookmarkStart w:id="56" w:name="_Toc1172"/>
      <w:bookmarkStart w:id="57" w:name="_Toc274409866"/>
      <w:bookmarkStart w:id="58" w:name="_Toc21458"/>
      <w:bookmarkStart w:id="59" w:name="_Toc455080109"/>
      <w:bookmarkStart w:id="60" w:name="_Toc20827"/>
      <w:bookmarkStart w:id="61" w:name="_Toc6747"/>
      <w:bookmarkStart w:id="62" w:name="_Toc5921"/>
      <w:bookmarkStart w:id="63" w:name="_Toc490667828"/>
      <w:bookmarkStart w:id="64" w:name="_Toc152042307"/>
      <w:bookmarkStart w:id="65" w:name="_Toc144974499"/>
      <w:bookmarkStart w:id="66" w:name="_Toc152045531"/>
      <w:r>
        <w:rPr>
          <w:rFonts w:hint="eastAsia" w:ascii="宋体" w:hAnsi="宋体" w:eastAsia="宋体"/>
          <w:b/>
          <w:bCs/>
          <w:color w:val="auto"/>
          <w:sz w:val="21"/>
          <w:szCs w:val="21"/>
          <w:lang w:eastAsia="zh-CN"/>
        </w:rPr>
        <w:t>1.1 适用范围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7458966">
      <w:pPr>
        <w:spacing w:line="360" w:lineRule="auto"/>
        <w:ind w:firstLine="420"/>
        <w:rPr>
          <w:rFonts w:ascii="宋体" w:hAnsi="宋体" w:cs="宋体"/>
          <w:color w:val="auto"/>
          <w:lang w:eastAsia="zh-CN"/>
        </w:rPr>
      </w:pPr>
      <w:r>
        <w:rPr>
          <w:rFonts w:hint="eastAsia" w:ascii="宋体" w:hAnsi="宋体" w:cs="宋体"/>
          <w:color w:val="auto"/>
          <w:lang w:eastAsia="zh-CN"/>
        </w:rPr>
        <w:t>1.1.1根据《中华人民共和国政府采购法》等有关法律、法规和规章的规定，编制本项目磋商文件。</w:t>
      </w:r>
    </w:p>
    <w:p w14:paraId="33E0BE2C">
      <w:pPr>
        <w:pStyle w:val="37"/>
        <w:tabs>
          <w:tab w:val="left" w:pos="7410"/>
        </w:tabs>
        <w:spacing w:line="360" w:lineRule="auto"/>
        <w:ind w:firstLine="422" w:firstLineChars="0"/>
        <w:outlineLvl w:val="9"/>
        <w:rPr>
          <w:rFonts w:ascii="宋体" w:hAnsi="宋体" w:eastAsia="宋体"/>
          <w:b/>
          <w:bCs/>
          <w:color w:val="auto"/>
          <w:sz w:val="21"/>
          <w:szCs w:val="21"/>
          <w:lang w:eastAsia="zh-CN"/>
        </w:rPr>
      </w:pPr>
      <w:bookmarkStart w:id="67" w:name="_Toc490667829"/>
      <w:bookmarkStart w:id="68" w:name="_Toc25773"/>
      <w:bookmarkStart w:id="69" w:name="_Toc455080110"/>
      <w:bookmarkStart w:id="70" w:name="_Toc8680"/>
      <w:bookmarkStart w:id="71" w:name="_Toc23548"/>
      <w:bookmarkStart w:id="72" w:name="_Toc24852"/>
      <w:bookmarkStart w:id="73" w:name="_Toc3336"/>
      <w:bookmarkStart w:id="74" w:name="_Toc30891"/>
      <w:bookmarkStart w:id="75" w:name="_Toc466298093"/>
      <w:bookmarkStart w:id="76" w:name="_Toc318450676"/>
      <w:bookmarkStart w:id="77" w:name="_Toc10556"/>
      <w:bookmarkStart w:id="78" w:name="_Toc10269"/>
      <w:bookmarkStart w:id="79" w:name="_Toc2929"/>
      <w:bookmarkStart w:id="80" w:name="_Toc710"/>
      <w:bookmarkStart w:id="81" w:name="_Toc274409867"/>
      <w:bookmarkStart w:id="82" w:name="_Toc32619"/>
      <w:bookmarkStart w:id="83" w:name="_Toc455867770"/>
      <w:bookmarkStart w:id="84" w:name="_Toc7237"/>
      <w:bookmarkStart w:id="85" w:name="_Toc281405468"/>
      <w:r>
        <w:rPr>
          <w:rFonts w:hint="eastAsia" w:ascii="宋体" w:hAnsi="宋体" w:eastAsia="宋体"/>
          <w:b/>
          <w:bCs/>
          <w:color w:val="auto"/>
          <w:sz w:val="21"/>
          <w:szCs w:val="21"/>
          <w:lang w:eastAsia="zh-CN"/>
        </w:rPr>
        <w:t>1.2 招标项目说明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D4CAC8C">
      <w:pPr>
        <w:spacing w:line="360" w:lineRule="auto"/>
        <w:ind w:firstLine="420"/>
        <w:rPr>
          <w:rFonts w:ascii="宋体" w:hAnsi="宋体" w:cs="宋体"/>
          <w:color w:val="auto"/>
          <w:lang w:eastAsia="zh-CN"/>
        </w:rPr>
      </w:pPr>
      <w:r>
        <w:rPr>
          <w:rFonts w:hint="eastAsia" w:ascii="宋体" w:hAnsi="宋体" w:cs="宋体"/>
          <w:color w:val="auto"/>
          <w:lang w:eastAsia="zh-CN"/>
        </w:rPr>
        <w:t>1.2.1 本项目</w:t>
      </w:r>
      <w:r>
        <w:rPr>
          <w:rFonts w:hint="eastAsia" w:ascii="宋体" w:hAnsi="宋体"/>
          <w:color w:val="auto"/>
          <w:lang w:eastAsia="zh-CN"/>
        </w:rPr>
        <w:t>采购人</w:t>
      </w:r>
      <w:r>
        <w:rPr>
          <w:rFonts w:hint="eastAsia" w:ascii="宋体" w:hAnsi="宋体" w:cs="宋体"/>
          <w:color w:val="auto"/>
          <w:lang w:eastAsia="zh-CN"/>
        </w:rPr>
        <w:t>：见供应商须知前附表。</w:t>
      </w:r>
    </w:p>
    <w:p w14:paraId="1CEAF818">
      <w:pPr>
        <w:spacing w:line="360" w:lineRule="auto"/>
        <w:ind w:firstLine="420"/>
        <w:rPr>
          <w:rFonts w:ascii="宋体" w:hAnsi="宋体" w:cs="宋体"/>
          <w:color w:val="auto"/>
          <w:lang w:eastAsia="zh-CN"/>
        </w:rPr>
      </w:pPr>
      <w:r>
        <w:rPr>
          <w:rFonts w:hint="eastAsia" w:ascii="宋体" w:hAnsi="宋体" w:cs="宋体"/>
          <w:color w:val="auto"/>
          <w:lang w:eastAsia="zh-CN"/>
        </w:rPr>
        <w:t>1.2.2 本项目采购代理机构：见供应商须知前附表。</w:t>
      </w:r>
    </w:p>
    <w:p w14:paraId="09838EE8">
      <w:pPr>
        <w:spacing w:line="360" w:lineRule="auto"/>
        <w:ind w:firstLine="420"/>
        <w:rPr>
          <w:rFonts w:ascii="宋体" w:hAnsi="宋体" w:cs="宋体"/>
          <w:color w:val="auto"/>
          <w:lang w:eastAsia="zh-CN"/>
        </w:rPr>
      </w:pPr>
      <w:r>
        <w:rPr>
          <w:rFonts w:hint="eastAsia" w:ascii="宋体" w:hAnsi="宋体" w:cs="宋体"/>
          <w:color w:val="auto"/>
          <w:lang w:eastAsia="zh-CN"/>
        </w:rPr>
        <w:t>1.2.3 本项目名称：见供应商须知前附表。</w:t>
      </w:r>
    </w:p>
    <w:p w14:paraId="0DA86D7B">
      <w:pPr>
        <w:spacing w:line="360" w:lineRule="auto"/>
        <w:ind w:firstLine="420"/>
        <w:rPr>
          <w:rFonts w:ascii="宋体" w:hAnsi="宋体" w:cs="宋体"/>
          <w:color w:val="auto"/>
          <w:lang w:eastAsia="zh-CN"/>
        </w:rPr>
      </w:pPr>
      <w:r>
        <w:rPr>
          <w:rFonts w:hint="eastAsia" w:ascii="宋体" w:hAnsi="宋体" w:cs="宋体"/>
          <w:color w:val="auto"/>
          <w:lang w:eastAsia="zh-CN"/>
        </w:rPr>
        <w:t>1.2.4本项目采购方式：见供应商须知前附表。</w:t>
      </w:r>
    </w:p>
    <w:p w14:paraId="27FD2E3D">
      <w:pPr>
        <w:spacing w:line="360" w:lineRule="auto"/>
        <w:ind w:firstLine="420"/>
        <w:rPr>
          <w:rFonts w:ascii="宋体" w:hAnsi="宋体" w:cs="宋体"/>
          <w:color w:val="auto"/>
          <w:lang w:eastAsia="zh-CN"/>
        </w:rPr>
      </w:pPr>
      <w:r>
        <w:rPr>
          <w:rFonts w:hint="eastAsia" w:ascii="宋体" w:hAnsi="宋体" w:cs="宋体"/>
          <w:color w:val="auto"/>
          <w:lang w:eastAsia="zh-CN"/>
        </w:rPr>
        <w:t>1.2.5本项目预算价（最高限价）：见供应商须知前附表。</w:t>
      </w:r>
    </w:p>
    <w:p w14:paraId="70B9AAE7">
      <w:pPr>
        <w:pStyle w:val="37"/>
        <w:spacing w:line="360" w:lineRule="auto"/>
        <w:ind w:firstLine="422" w:firstLineChars="0"/>
        <w:outlineLvl w:val="9"/>
        <w:rPr>
          <w:rFonts w:ascii="宋体" w:hAnsi="宋体" w:eastAsia="宋体"/>
          <w:b/>
          <w:bCs/>
          <w:color w:val="auto"/>
          <w:sz w:val="21"/>
          <w:szCs w:val="21"/>
          <w:lang w:eastAsia="zh-CN"/>
        </w:rPr>
      </w:pPr>
      <w:bookmarkStart w:id="86" w:name="_Toc4563"/>
      <w:bookmarkStart w:id="87" w:name="_Toc274409868"/>
      <w:bookmarkStart w:id="88" w:name="_Toc16931"/>
      <w:bookmarkStart w:id="89" w:name="_Toc281405469"/>
      <w:bookmarkStart w:id="90" w:name="_Toc3477"/>
      <w:bookmarkStart w:id="91" w:name="_Toc4952"/>
      <w:bookmarkStart w:id="92" w:name="_Toc17753"/>
      <w:bookmarkStart w:id="93" w:name="_Toc1373"/>
      <w:bookmarkStart w:id="94" w:name="_Toc17146"/>
      <w:bookmarkStart w:id="95" w:name="_Toc318450677"/>
      <w:bookmarkStart w:id="96" w:name="_Toc466298094"/>
      <w:bookmarkStart w:id="97" w:name="_Toc22979"/>
      <w:bookmarkStart w:id="98" w:name="_Toc18960"/>
      <w:bookmarkStart w:id="99" w:name="_Toc17016"/>
      <w:bookmarkStart w:id="100" w:name="_Toc455080111"/>
      <w:bookmarkStart w:id="101" w:name="_Toc455867771"/>
      <w:bookmarkStart w:id="102" w:name="_Toc490667830"/>
      <w:bookmarkStart w:id="103" w:name="_Toc4122"/>
      <w:bookmarkStart w:id="104" w:name="_Toc12213"/>
      <w:r>
        <w:rPr>
          <w:rFonts w:hint="eastAsia" w:ascii="宋体" w:hAnsi="宋体" w:eastAsia="宋体"/>
          <w:b/>
          <w:bCs/>
          <w:color w:val="auto"/>
          <w:sz w:val="21"/>
          <w:szCs w:val="21"/>
          <w:lang w:eastAsia="zh-CN"/>
        </w:rPr>
        <w:t>1.3 定义及解释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A89A522">
      <w:pPr>
        <w:spacing w:line="360" w:lineRule="auto"/>
        <w:ind w:firstLine="420"/>
        <w:rPr>
          <w:rFonts w:ascii="宋体" w:hAnsi="宋体" w:cs="宋体"/>
          <w:color w:val="auto"/>
          <w:lang w:eastAsia="zh-CN"/>
        </w:rPr>
      </w:pPr>
      <w:r>
        <w:rPr>
          <w:rFonts w:hint="eastAsia" w:ascii="宋体" w:hAnsi="宋体" w:cs="宋体"/>
          <w:color w:val="auto"/>
          <w:lang w:eastAsia="zh-CN"/>
        </w:rPr>
        <w:t>1.3.1</w:t>
      </w:r>
      <w:r>
        <w:rPr>
          <w:rFonts w:hint="eastAsia" w:ascii="宋体" w:hAnsi="宋体"/>
          <w:color w:val="auto"/>
          <w:lang w:eastAsia="zh-CN"/>
        </w:rPr>
        <w:t>采购人</w:t>
      </w:r>
      <w:r>
        <w:rPr>
          <w:rFonts w:hint="eastAsia" w:ascii="宋体" w:hAnsi="宋体" w:cs="宋体"/>
          <w:color w:val="auto"/>
          <w:lang w:eastAsia="zh-CN"/>
        </w:rPr>
        <w:t>：依法进行政府采购的国家机关、事业单位、团体组织。</w:t>
      </w:r>
    </w:p>
    <w:p w14:paraId="79A0D5CB">
      <w:pPr>
        <w:spacing w:line="360" w:lineRule="auto"/>
        <w:ind w:firstLine="420"/>
        <w:rPr>
          <w:rFonts w:ascii="宋体" w:hAnsi="宋体" w:cs="宋体"/>
          <w:color w:val="auto"/>
          <w:lang w:eastAsia="zh-CN"/>
        </w:rPr>
      </w:pPr>
      <w:r>
        <w:rPr>
          <w:rFonts w:hint="eastAsia" w:ascii="宋体" w:hAnsi="宋体" w:cs="宋体"/>
          <w:color w:val="auto"/>
          <w:lang w:eastAsia="zh-CN"/>
        </w:rPr>
        <w:t>1.3.2</w:t>
      </w:r>
      <w:r>
        <w:rPr>
          <w:rFonts w:hint="eastAsia" w:ascii="宋体" w:hAnsi="宋体"/>
          <w:color w:val="auto"/>
          <w:lang w:eastAsia="zh-CN"/>
        </w:rPr>
        <w:t>采购代理机构</w:t>
      </w:r>
      <w:r>
        <w:rPr>
          <w:rFonts w:hint="eastAsia" w:ascii="宋体" w:hAnsi="宋体" w:cs="宋体"/>
          <w:color w:val="auto"/>
          <w:lang w:eastAsia="zh-CN"/>
        </w:rPr>
        <w:t>：取得政府采购招标代理资质，受采购人委托组织招标活动的社会中介组织。</w:t>
      </w:r>
    </w:p>
    <w:p w14:paraId="0066BC03">
      <w:pPr>
        <w:spacing w:line="360" w:lineRule="auto"/>
        <w:ind w:firstLine="420"/>
        <w:rPr>
          <w:rFonts w:ascii="宋体" w:hAnsi="宋体" w:cs="宋体"/>
          <w:color w:val="auto"/>
          <w:lang w:eastAsia="zh-CN"/>
        </w:rPr>
      </w:pPr>
      <w:r>
        <w:rPr>
          <w:rFonts w:hint="eastAsia" w:ascii="宋体" w:hAnsi="宋体" w:cs="宋体"/>
          <w:color w:val="auto"/>
          <w:lang w:eastAsia="zh-CN"/>
        </w:rPr>
        <w:t>1.3.3服务：系指根据本磋商文件规定供应商须承担的服务以及其他类似的义务等。</w:t>
      </w:r>
    </w:p>
    <w:p w14:paraId="4B065F21">
      <w:pPr>
        <w:spacing w:line="360" w:lineRule="auto"/>
        <w:ind w:firstLine="420"/>
        <w:rPr>
          <w:rFonts w:ascii="宋体" w:hAnsi="宋体" w:cs="宋体"/>
          <w:color w:val="auto"/>
          <w:lang w:eastAsia="zh-CN"/>
        </w:rPr>
      </w:pPr>
      <w:r>
        <w:rPr>
          <w:rFonts w:hint="eastAsia" w:ascii="宋体" w:hAnsi="宋体" w:cs="宋体"/>
          <w:color w:val="auto"/>
          <w:lang w:eastAsia="zh-CN"/>
        </w:rPr>
        <w:t>1.3.4供应商：供应商是响应磋商文件、参加磋商竞争的中华人民共和国境内的法人、其它组织。</w:t>
      </w:r>
    </w:p>
    <w:p w14:paraId="738D8162">
      <w:pPr>
        <w:spacing w:line="360" w:lineRule="auto"/>
        <w:ind w:firstLine="420"/>
        <w:rPr>
          <w:rFonts w:ascii="宋体" w:hAnsi="宋体" w:cs="宋体"/>
          <w:color w:val="auto"/>
          <w:lang w:eastAsia="zh-CN"/>
        </w:rPr>
      </w:pPr>
      <w:r>
        <w:rPr>
          <w:rFonts w:hint="eastAsia" w:ascii="宋体" w:hAnsi="宋体" w:cs="宋体"/>
          <w:color w:val="auto"/>
          <w:lang w:eastAsia="zh-CN"/>
        </w:rPr>
        <w:t>1.3.5响应文件：指供应商根据竞争性磋商文件提交的所有文件。</w:t>
      </w:r>
    </w:p>
    <w:p w14:paraId="3E913FCC">
      <w:pPr>
        <w:spacing w:line="360" w:lineRule="auto"/>
        <w:ind w:firstLine="420"/>
        <w:rPr>
          <w:rFonts w:ascii="宋体" w:hAnsi="宋体" w:cs="宋体"/>
          <w:color w:val="auto"/>
          <w:lang w:eastAsia="zh-CN"/>
        </w:rPr>
      </w:pPr>
      <w:r>
        <w:rPr>
          <w:rFonts w:hint="eastAsia" w:ascii="宋体" w:hAnsi="宋体" w:cs="宋体"/>
          <w:color w:val="auto"/>
          <w:lang w:eastAsia="zh-CN"/>
        </w:rPr>
        <w:t>1.3.6磋商小组：依据</w:t>
      </w:r>
      <w:r>
        <w:rPr>
          <w:rFonts w:hint="eastAsia" w:ascii="宋体" w:hAnsi="宋体" w:cs="宋体"/>
          <w:color w:val="auto"/>
          <w:lang w:eastAsia="zh-CN" w:bidi="en-US"/>
        </w:rPr>
        <w:t>《中华人民共和国政府采购法》及有关法律、法规的规定依法组建的专门负责本次评标工作的临时机构</w:t>
      </w:r>
      <w:r>
        <w:rPr>
          <w:rFonts w:hint="eastAsia" w:ascii="宋体" w:hAnsi="宋体" w:cs="宋体"/>
          <w:color w:val="auto"/>
          <w:lang w:eastAsia="zh-CN"/>
        </w:rPr>
        <w:t>。</w:t>
      </w:r>
    </w:p>
    <w:p w14:paraId="052F80FC">
      <w:pPr>
        <w:spacing w:line="360" w:lineRule="auto"/>
        <w:ind w:firstLine="420"/>
        <w:rPr>
          <w:rFonts w:ascii="宋体" w:hAnsi="宋体" w:cs="宋体"/>
          <w:color w:val="auto"/>
          <w:lang w:eastAsia="zh-CN"/>
        </w:rPr>
      </w:pPr>
      <w:r>
        <w:rPr>
          <w:rFonts w:hint="eastAsia" w:ascii="宋体" w:hAnsi="宋体" w:cs="宋体"/>
          <w:color w:val="auto"/>
          <w:lang w:eastAsia="zh-CN"/>
        </w:rPr>
        <w:t>1.3.7偏离：响应文件的响应相对于竞争性磋商文件要求的偏差，该偏差优于竞争性磋商文件要求的为正偏离；劣于的为负偏离。</w:t>
      </w:r>
    </w:p>
    <w:p w14:paraId="162611D8">
      <w:pPr>
        <w:spacing w:line="360" w:lineRule="auto"/>
        <w:ind w:firstLine="420"/>
        <w:rPr>
          <w:rFonts w:ascii="宋体" w:hAnsi="宋体" w:cs="宋体"/>
          <w:color w:val="auto"/>
          <w:lang w:eastAsia="zh-CN"/>
        </w:rPr>
      </w:pPr>
      <w:r>
        <w:rPr>
          <w:rFonts w:hint="eastAsia" w:ascii="宋体" w:hAnsi="宋体" w:cs="宋体"/>
          <w:color w:val="auto"/>
          <w:lang w:eastAsia="zh-CN"/>
        </w:rPr>
        <w:t>1.3.8“日期”或“天”：指日历天。</w:t>
      </w:r>
    </w:p>
    <w:p w14:paraId="762D7FFC">
      <w:pPr>
        <w:spacing w:line="360" w:lineRule="auto"/>
        <w:ind w:firstLine="420"/>
        <w:rPr>
          <w:rFonts w:ascii="宋体" w:hAnsi="宋体" w:cs="宋体"/>
          <w:color w:val="auto"/>
          <w:lang w:eastAsia="zh-CN"/>
        </w:rPr>
      </w:pPr>
      <w:r>
        <w:rPr>
          <w:rFonts w:hint="eastAsia" w:ascii="宋体" w:hAnsi="宋体" w:cs="宋体"/>
          <w:color w:val="auto"/>
          <w:lang w:eastAsia="zh-CN"/>
        </w:rPr>
        <w:t>1.3.9合同：指依据本次服务采购招标结果签订的协议或合约文件。</w:t>
      </w:r>
    </w:p>
    <w:p w14:paraId="14A7FBA8">
      <w:pPr>
        <w:spacing w:line="360" w:lineRule="auto"/>
        <w:ind w:firstLine="420"/>
        <w:rPr>
          <w:rFonts w:ascii="宋体" w:hAnsi="宋体" w:cs="宋体"/>
          <w:color w:val="auto"/>
          <w:lang w:eastAsia="zh-CN"/>
        </w:rPr>
      </w:pPr>
      <w:r>
        <w:rPr>
          <w:rFonts w:hint="eastAsia" w:ascii="宋体" w:hAnsi="宋体" w:cs="宋体"/>
          <w:color w:val="auto"/>
          <w:lang w:eastAsia="zh-CN"/>
        </w:rPr>
        <w:t>1.3.10竞争性磋商文件中的标题或题名仅起引导作用，而不应视为对竞争性磋商文件内容的理解和解释。</w:t>
      </w:r>
    </w:p>
    <w:bookmarkEnd w:id="64"/>
    <w:bookmarkEnd w:id="65"/>
    <w:bookmarkEnd w:id="66"/>
    <w:p w14:paraId="4E4724CB">
      <w:pPr>
        <w:pStyle w:val="37"/>
        <w:spacing w:line="360" w:lineRule="auto"/>
        <w:ind w:firstLine="422" w:firstLineChars="0"/>
        <w:outlineLvl w:val="9"/>
        <w:rPr>
          <w:rFonts w:ascii="宋体" w:hAnsi="宋体" w:eastAsia="宋体"/>
          <w:b/>
          <w:bCs/>
          <w:color w:val="auto"/>
          <w:sz w:val="21"/>
          <w:szCs w:val="21"/>
          <w:lang w:eastAsia="zh-CN"/>
        </w:rPr>
      </w:pPr>
      <w:bookmarkStart w:id="105" w:name="_Toc21766"/>
      <w:bookmarkStart w:id="106" w:name="_Toc32236"/>
      <w:bookmarkStart w:id="107" w:name="_Toc19363"/>
      <w:bookmarkStart w:id="108" w:name="_Toc152045532"/>
      <w:bookmarkStart w:id="109" w:name="_Toc16470"/>
      <w:bookmarkStart w:id="110" w:name="_Toc14043"/>
      <w:bookmarkStart w:id="111" w:name="_Toc17908"/>
      <w:bookmarkStart w:id="112" w:name="_Toc455867772"/>
      <w:bookmarkStart w:id="113" w:name="_Toc12838"/>
      <w:bookmarkStart w:id="114" w:name="_Toc490667831"/>
      <w:bookmarkStart w:id="115" w:name="_Toc9025"/>
      <w:bookmarkStart w:id="116" w:name="_Toc466298095"/>
      <w:bookmarkStart w:id="117" w:name="_Toc455080112"/>
      <w:bookmarkStart w:id="118" w:name="_Toc27407"/>
      <w:bookmarkStart w:id="119" w:name="_Toc17808"/>
      <w:bookmarkStart w:id="120" w:name="_Toc152042308"/>
      <w:bookmarkStart w:id="121" w:name="_Toc10894"/>
      <w:bookmarkStart w:id="122" w:name="_Toc12752"/>
      <w:bookmarkStart w:id="123" w:name="_Toc144974500"/>
      <w:bookmarkStart w:id="124" w:name="_Toc318450678"/>
      <w:r>
        <w:rPr>
          <w:rFonts w:hint="eastAsia" w:ascii="宋体" w:hAnsi="宋体" w:eastAsia="宋体"/>
          <w:b/>
          <w:bCs/>
          <w:color w:val="auto"/>
          <w:sz w:val="21"/>
          <w:szCs w:val="21"/>
          <w:lang w:eastAsia="zh-CN"/>
        </w:rPr>
        <w:t>1.4 磋商内容、服务期限、质保期和质量要求</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77C29C4">
      <w:pPr>
        <w:spacing w:line="360" w:lineRule="auto"/>
        <w:ind w:firstLine="420"/>
        <w:rPr>
          <w:rFonts w:ascii="宋体" w:hAnsi="宋体" w:cs="宋体"/>
          <w:color w:val="auto"/>
          <w:lang w:eastAsia="zh-CN"/>
        </w:rPr>
      </w:pPr>
      <w:r>
        <w:rPr>
          <w:rFonts w:hint="eastAsia" w:ascii="宋体" w:hAnsi="宋体" w:cs="宋体"/>
          <w:color w:val="auto"/>
          <w:lang w:eastAsia="zh-CN"/>
        </w:rPr>
        <w:t>1.4.1本次磋商内容：见供应商须知前附表。</w:t>
      </w:r>
    </w:p>
    <w:p w14:paraId="147D35B3">
      <w:pPr>
        <w:spacing w:line="360" w:lineRule="auto"/>
        <w:ind w:firstLine="420"/>
        <w:rPr>
          <w:rFonts w:ascii="宋体" w:hAnsi="宋体" w:cs="宋体"/>
          <w:color w:val="auto"/>
          <w:lang w:eastAsia="zh-CN"/>
        </w:rPr>
      </w:pPr>
      <w:r>
        <w:rPr>
          <w:rFonts w:hint="eastAsia" w:ascii="宋体" w:hAnsi="宋体" w:cs="宋体"/>
          <w:color w:val="auto"/>
          <w:lang w:eastAsia="zh-CN"/>
        </w:rPr>
        <w:t>1.4.2本项目的服务期限：见供应商须知前附表。</w:t>
      </w:r>
    </w:p>
    <w:p w14:paraId="33D916F9">
      <w:pPr>
        <w:spacing w:line="360" w:lineRule="auto"/>
        <w:ind w:firstLine="420"/>
        <w:rPr>
          <w:rFonts w:ascii="宋体" w:hAnsi="宋体" w:cs="宋体"/>
          <w:color w:val="auto"/>
          <w:lang w:eastAsia="zh-CN"/>
        </w:rPr>
      </w:pPr>
      <w:r>
        <w:rPr>
          <w:rFonts w:hint="eastAsia" w:ascii="宋体" w:hAnsi="宋体" w:cs="宋体"/>
          <w:color w:val="auto"/>
          <w:lang w:eastAsia="zh-CN"/>
        </w:rPr>
        <w:t>1.4.3本项目的质量要求：见供应商须知前附表。</w:t>
      </w:r>
    </w:p>
    <w:p w14:paraId="73C3C679">
      <w:pPr>
        <w:spacing w:line="360" w:lineRule="auto"/>
        <w:ind w:firstLine="420"/>
        <w:rPr>
          <w:rFonts w:ascii="宋体" w:hAnsi="宋体" w:cs="宋体"/>
          <w:color w:val="auto"/>
          <w:lang w:eastAsia="zh-CN"/>
        </w:rPr>
      </w:pPr>
      <w:r>
        <w:rPr>
          <w:rFonts w:hint="eastAsia" w:ascii="宋体" w:hAnsi="宋体" w:cs="宋体"/>
          <w:color w:val="auto"/>
          <w:lang w:eastAsia="zh-CN"/>
        </w:rPr>
        <w:t>1.4.4付款方式：见供应商须知前附表。</w:t>
      </w:r>
    </w:p>
    <w:p w14:paraId="258B4F41">
      <w:pPr>
        <w:pStyle w:val="37"/>
        <w:spacing w:line="360" w:lineRule="auto"/>
        <w:ind w:firstLine="422" w:firstLineChars="0"/>
        <w:outlineLvl w:val="9"/>
        <w:rPr>
          <w:rFonts w:ascii="宋体" w:hAnsi="宋体" w:eastAsia="宋体"/>
          <w:b/>
          <w:bCs/>
          <w:color w:val="auto"/>
          <w:sz w:val="21"/>
          <w:szCs w:val="21"/>
          <w:lang w:eastAsia="zh-CN"/>
        </w:rPr>
      </w:pPr>
      <w:bookmarkStart w:id="125" w:name="_Toc152042310"/>
      <w:bookmarkStart w:id="126" w:name="_Toc152045534"/>
      <w:bookmarkStart w:id="127" w:name="_Toc318450679"/>
      <w:bookmarkStart w:id="128" w:name="_Toc144974502"/>
      <w:bookmarkStart w:id="129" w:name="_Toc5019"/>
      <w:bookmarkStart w:id="130" w:name="_Toc16148"/>
      <w:bookmarkStart w:id="131" w:name="_Toc490667832"/>
      <w:bookmarkStart w:id="132" w:name="_Toc455080113"/>
      <w:bookmarkStart w:id="133" w:name="_Toc11063"/>
      <w:bookmarkStart w:id="134" w:name="_Toc18689"/>
      <w:bookmarkStart w:id="135" w:name="_Toc22643"/>
      <w:bookmarkStart w:id="136" w:name="_Toc11621"/>
      <w:bookmarkStart w:id="137" w:name="_Toc466298096"/>
      <w:bookmarkStart w:id="138" w:name="_Toc455867773"/>
      <w:bookmarkStart w:id="139" w:name="_Toc18004"/>
      <w:bookmarkStart w:id="140" w:name="_Toc1602"/>
      <w:bookmarkStart w:id="141" w:name="_Toc7209"/>
      <w:bookmarkStart w:id="142" w:name="_Toc4301"/>
      <w:bookmarkStart w:id="143" w:name="_Toc4711"/>
      <w:bookmarkStart w:id="144" w:name="_Toc32156"/>
      <w:r>
        <w:rPr>
          <w:rFonts w:hint="eastAsia" w:ascii="宋体" w:hAnsi="宋体" w:eastAsia="宋体"/>
          <w:b/>
          <w:bCs/>
          <w:color w:val="auto"/>
          <w:sz w:val="21"/>
          <w:szCs w:val="21"/>
          <w:lang w:eastAsia="zh-CN"/>
        </w:rPr>
        <w:t xml:space="preserve">1.5 </w:t>
      </w:r>
      <w:bookmarkEnd w:id="125"/>
      <w:bookmarkEnd w:id="126"/>
      <w:bookmarkEnd w:id="127"/>
      <w:bookmarkEnd w:id="128"/>
      <w:r>
        <w:rPr>
          <w:rFonts w:hint="eastAsia" w:ascii="宋体" w:hAnsi="宋体" w:eastAsia="宋体"/>
          <w:b/>
          <w:bCs/>
          <w:color w:val="auto"/>
          <w:sz w:val="21"/>
          <w:szCs w:val="21"/>
          <w:lang w:eastAsia="zh-CN"/>
        </w:rPr>
        <w:t>供应商资质条件和能力</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E68E523">
      <w:pPr>
        <w:spacing w:line="360" w:lineRule="auto"/>
        <w:ind w:firstLine="420"/>
        <w:rPr>
          <w:rFonts w:ascii="宋体" w:hAnsi="宋体" w:cs="宋体"/>
          <w:color w:val="auto"/>
          <w:lang w:eastAsia="zh-CN"/>
        </w:rPr>
      </w:pPr>
      <w:r>
        <w:rPr>
          <w:rFonts w:hint="eastAsia" w:ascii="宋体" w:hAnsi="宋体" w:cs="宋体"/>
          <w:color w:val="auto"/>
          <w:lang w:eastAsia="zh-CN"/>
        </w:rPr>
        <w:t>1.5.1供应商资质及能力要求：见供应商须知前附表。</w:t>
      </w:r>
    </w:p>
    <w:p w14:paraId="17906DD1">
      <w:pPr>
        <w:spacing w:line="360" w:lineRule="auto"/>
        <w:ind w:firstLine="420"/>
        <w:rPr>
          <w:rFonts w:ascii="宋体" w:hAnsi="宋体" w:cs="宋体"/>
          <w:color w:val="auto"/>
          <w:lang w:eastAsia="zh-CN"/>
        </w:rPr>
      </w:pPr>
      <w:r>
        <w:rPr>
          <w:rFonts w:hint="eastAsia" w:ascii="宋体" w:hAnsi="宋体" w:cs="宋体"/>
          <w:color w:val="auto"/>
          <w:lang w:eastAsia="zh-CN"/>
        </w:rPr>
        <w:t>1.5.2是否接受联合体：见供应商须知前附表。</w:t>
      </w:r>
    </w:p>
    <w:p w14:paraId="2CF8DED6">
      <w:pPr>
        <w:pStyle w:val="37"/>
        <w:spacing w:line="360" w:lineRule="auto"/>
        <w:ind w:firstLine="422" w:firstLineChars="0"/>
        <w:outlineLvl w:val="9"/>
        <w:rPr>
          <w:rFonts w:ascii="宋体" w:hAnsi="宋体" w:eastAsia="宋体"/>
          <w:b/>
          <w:bCs/>
          <w:color w:val="auto"/>
          <w:sz w:val="21"/>
          <w:szCs w:val="21"/>
          <w:lang w:eastAsia="zh-CN"/>
        </w:rPr>
      </w:pPr>
      <w:bookmarkStart w:id="145" w:name="_Toc144974503"/>
      <w:bookmarkStart w:id="146" w:name="_Toc3534"/>
      <w:bookmarkStart w:id="147" w:name="_Toc490667833"/>
      <w:bookmarkStart w:id="148" w:name="_Toc9505"/>
      <w:bookmarkStart w:id="149" w:name="_Toc32446"/>
      <w:bookmarkStart w:id="150" w:name="_Toc21564"/>
      <w:bookmarkStart w:id="151" w:name="_Toc11905"/>
      <w:bookmarkStart w:id="152" w:name="_Toc12403"/>
      <w:bookmarkStart w:id="153" w:name="_Toc152042311"/>
      <w:bookmarkStart w:id="154" w:name="_Toc466298097"/>
      <w:bookmarkStart w:id="155" w:name="_Toc152045535"/>
      <w:bookmarkStart w:id="156" w:name="_Toc981"/>
      <w:bookmarkStart w:id="157" w:name="_Toc31854"/>
      <w:bookmarkStart w:id="158" w:name="_Toc318450680"/>
      <w:bookmarkStart w:id="159" w:name="_Toc455080114"/>
      <w:bookmarkStart w:id="160" w:name="_Toc5162"/>
      <w:bookmarkStart w:id="161" w:name="_Toc651"/>
      <w:bookmarkStart w:id="162" w:name="_Toc28135"/>
      <w:bookmarkStart w:id="163" w:name="_Toc16889"/>
      <w:bookmarkStart w:id="164" w:name="_Toc455867774"/>
      <w:r>
        <w:rPr>
          <w:rFonts w:hint="eastAsia" w:ascii="宋体" w:hAnsi="宋体" w:eastAsia="宋体"/>
          <w:b/>
          <w:bCs/>
          <w:color w:val="auto"/>
          <w:sz w:val="21"/>
          <w:szCs w:val="21"/>
          <w:lang w:eastAsia="zh-CN"/>
        </w:rPr>
        <w:t>1.6 费用承担</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067AAAE">
      <w:pPr>
        <w:spacing w:line="360" w:lineRule="auto"/>
        <w:ind w:firstLine="420"/>
        <w:rPr>
          <w:rFonts w:ascii="宋体" w:hAnsi="宋体" w:cs="宋体"/>
          <w:color w:val="auto"/>
          <w:lang w:eastAsia="zh-CN"/>
        </w:rPr>
      </w:pPr>
      <w:r>
        <w:rPr>
          <w:rFonts w:hint="eastAsia" w:ascii="宋体" w:hAnsi="宋体" w:cs="宋体"/>
          <w:color w:val="auto"/>
          <w:lang w:eastAsia="zh-CN"/>
        </w:rPr>
        <w:t>供应商准备和参加磋商活动发生的费用自理，不论磋商的结果如何，采购人和采购代理机构在任何情况下均无义务和责任承担这些费用。</w:t>
      </w:r>
    </w:p>
    <w:p w14:paraId="209BF374">
      <w:pPr>
        <w:pStyle w:val="37"/>
        <w:spacing w:line="360" w:lineRule="auto"/>
        <w:ind w:firstLine="422" w:firstLineChars="0"/>
        <w:outlineLvl w:val="9"/>
        <w:rPr>
          <w:rFonts w:ascii="宋体" w:hAnsi="宋体" w:eastAsia="宋体"/>
          <w:b/>
          <w:bCs/>
          <w:color w:val="auto"/>
          <w:sz w:val="21"/>
          <w:szCs w:val="21"/>
          <w:lang w:eastAsia="zh-CN"/>
        </w:rPr>
      </w:pPr>
      <w:bookmarkStart w:id="165" w:name="_Toc2622"/>
      <w:bookmarkStart w:id="166" w:name="_Toc32542"/>
      <w:bookmarkStart w:id="167" w:name="_Toc466298098"/>
      <w:bookmarkStart w:id="168" w:name="_Toc22800"/>
      <w:bookmarkStart w:id="169" w:name="_Toc152042312"/>
      <w:bookmarkStart w:id="170" w:name="_Toc5402"/>
      <w:bookmarkStart w:id="171" w:name="_Toc6014"/>
      <w:bookmarkStart w:id="172" w:name="_Toc10377"/>
      <w:bookmarkStart w:id="173" w:name="_Toc455867775"/>
      <w:bookmarkStart w:id="174" w:name="_Toc490667834"/>
      <w:bookmarkStart w:id="175" w:name="_Toc22136"/>
      <w:bookmarkStart w:id="176" w:name="_Toc20145"/>
      <w:bookmarkStart w:id="177" w:name="_Toc318450681"/>
      <w:bookmarkStart w:id="178" w:name="_Toc152045536"/>
      <w:bookmarkStart w:id="179" w:name="_Toc455080115"/>
      <w:bookmarkStart w:id="180" w:name="_Toc1879"/>
      <w:bookmarkStart w:id="181" w:name="_Toc8055"/>
      <w:bookmarkStart w:id="182" w:name="_Toc144974504"/>
      <w:bookmarkStart w:id="183" w:name="_Toc24601"/>
      <w:bookmarkStart w:id="184" w:name="_Toc32053"/>
      <w:r>
        <w:rPr>
          <w:rFonts w:hint="eastAsia" w:ascii="宋体" w:hAnsi="宋体" w:eastAsia="宋体"/>
          <w:b/>
          <w:bCs/>
          <w:color w:val="auto"/>
          <w:sz w:val="21"/>
          <w:szCs w:val="21"/>
          <w:lang w:eastAsia="zh-CN"/>
        </w:rPr>
        <w:t>1.7 保密</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5364BAC">
      <w:pPr>
        <w:spacing w:line="360" w:lineRule="auto"/>
        <w:ind w:firstLine="420"/>
        <w:rPr>
          <w:rFonts w:ascii="宋体" w:hAnsi="宋体" w:cs="宋体"/>
          <w:color w:val="auto"/>
          <w:lang w:eastAsia="zh-CN"/>
        </w:rPr>
      </w:pPr>
      <w:r>
        <w:rPr>
          <w:rFonts w:hint="eastAsia" w:ascii="宋体" w:hAnsi="宋体" w:cs="宋体"/>
          <w:color w:val="auto"/>
          <w:lang w:eastAsia="zh-CN"/>
        </w:rPr>
        <w:t xml:space="preserve">参与磋商活动的各方应对竞争性磋商文件和响应文件中的商业和技术等秘密保密，违者应对由此造成的后果承担法律责任。 </w:t>
      </w:r>
    </w:p>
    <w:p w14:paraId="1F08D312">
      <w:pPr>
        <w:pStyle w:val="37"/>
        <w:spacing w:line="360" w:lineRule="auto"/>
        <w:ind w:firstLine="422" w:firstLineChars="0"/>
        <w:outlineLvl w:val="9"/>
        <w:rPr>
          <w:rFonts w:ascii="宋体" w:hAnsi="宋体" w:eastAsia="宋体"/>
          <w:b/>
          <w:bCs/>
          <w:color w:val="auto"/>
          <w:sz w:val="21"/>
          <w:szCs w:val="21"/>
          <w:lang w:eastAsia="zh-CN"/>
        </w:rPr>
      </w:pPr>
      <w:bookmarkStart w:id="185" w:name="_Toc144974505"/>
      <w:bookmarkStart w:id="186" w:name="_Toc30747"/>
      <w:bookmarkStart w:id="187" w:name="_Toc152042313"/>
      <w:bookmarkStart w:id="188" w:name="_Toc152045537"/>
      <w:bookmarkStart w:id="189" w:name="_Toc14775"/>
      <w:bookmarkStart w:id="190" w:name="_Toc6615"/>
      <w:bookmarkStart w:id="191" w:name="_Toc7031"/>
      <w:bookmarkStart w:id="192" w:name="_Toc25517"/>
      <w:bookmarkStart w:id="193" w:name="_Toc3628"/>
      <w:bookmarkStart w:id="194" w:name="_Toc318450682"/>
      <w:bookmarkStart w:id="195" w:name="_Toc21089"/>
      <w:bookmarkStart w:id="196" w:name="_Toc466298099"/>
      <w:bookmarkStart w:id="197" w:name="_Toc15141"/>
      <w:bookmarkStart w:id="198" w:name="_Toc13976"/>
      <w:bookmarkStart w:id="199" w:name="_Toc455080116"/>
      <w:bookmarkStart w:id="200" w:name="_Toc15673"/>
      <w:bookmarkStart w:id="201" w:name="_Toc9432"/>
      <w:bookmarkStart w:id="202" w:name="_Toc30583"/>
      <w:bookmarkStart w:id="203" w:name="_Toc490667835"/>
      <w:bookmarkStart w:id="204" w:name="_Toc455867776"/>
      <w:r>
        <w:rPr>
          <w:rFonts w:hint="eastAsia" w:ascii="宋体" w:hAnsi="宋体" w:eastAsia="宋体"/>
          <w:b/>
          <w:bCs/>
          <w:color w:val="auto"/>
          <w:sz w:val="21"/>
          <w:szCs w:val="21"/>
          <w:lang w:eastAsia="zh-CN"/>
        </w:rPr>
        <w:t>1.8 语言</w:t>
      </w:r>
      <w:bookmarkEnd w:id="185"/>
      <w:r>
        <w:rPr>
          <w:rFonts w:hint="eastAsia" w:ascii="宋体" w:hAnsi="宋体" w:eastAsia="宋体"/>
          <w:b/>
          <w:bCs/>
          <w:color w:val="auto"/>
          <w:sz w:val="21"/>
          <w:szCs w:val="21"/>
          <w:lang w:eastAsia="zh-CN"/>
        </w:rPr>
        <w:t>文字</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14C6C3F">
      <w:pPr>
        <w:spacing w:line="360" w:lineRule="auto"/>
        <w:ind w:firstLine="420"/>
        <w:rPr>
          <w:rFonts w:ascii="宋体" w:hAnsi="宋体" w:cs="宋体"/>
          <w:color w:val="auto"/>
          <w:lang w:eastAsia="zh-CN"/>
        </w:rPr>
      </w:pPr>
      <w:r>
        <w:rPr>
          <w:rFonts w:hint="eastAsia" w:ascii="宋体" w:hAnsi="宋体" w:cs="宋体"/>
          <w:color w:val="auto"/>
          <w:lang w:eastAsia="zh-CN"/>
        </w:rPr>
        <w:t>除专用术语外，与磋商有关的语言均使用中文。必要时专用术语应附有中文注释，</w:t>
      </w:r>
      <w:r>
        <w:rPr>
          <w:rFonts w:hint="eastAsia" w:ascii="宋体" w:hAnsi="宋体" w:cs="宋体"/>
          <w:color w:val="auto"/>
          <w:lang w:eastAsia="zh-CN" w:bidi="en-US"/>
        </w:rPr>
        <w:t>对不同文字文本响应文件的解释发生异议的，以中文文本为准。</w:t>
      </w:r>
    </w:p>
    <w:p w14:paraId="5ED84A8C">
      <w:pPr>
        <w:pStyle w:val="37"/>
        <w:spacing w:line="360" w:lineRule="auto"/>
        <w:ind w:firstLine="422" w:firstLineChars="0"/>
        <w:outlineLvl w:val="9"/>
        <w:rPr>
          <w:rFonts w:ascii="宋体" w:hAnsi="宋体" w:eastAsia="宋体"/>
          <w:b/>
          <w:bCs/>
          <w:color w:val="auto"/>
          <w:sz w:val="21"/>
          <w:szCs w:val="21"/>
          <w:lang w:eastAsia="zh-CN"/>
        </w:rPr>
      </w:pPr>
      <w:bookmarkStart w:id="205" w:name="_Toc4237"/>
      <w:bookmarkStart w:id="206" w:name="_Toc2702"/>
      <w:bookmarkStart w:id="207" w:name="_Toc455080117"/>
      <w:bookmarkStart w:id="208" w:name="_Toc152045538"/>
      <w:bookmarkStart w:id="209" w:name="_Toc14934"/>
      <w:bookmarkStart w:id="210" w:name="_Toc22231"/>
      <w:bookmarkStart w:id="211" w:name="_Toc20536"/>
      <w:bookmarkStart w:id="212" w:name="_Toc466298100"/>
      <w:bookmarkStart w:id="213" w:name="_Toc22415"/>
      <w:bookmarkStart w:id="214" w:name="_Toc9446"/>
      <w:bookmarkStart w:id="215" w:name="_Toc318450683"/>
      <w:bookmarkStart w:id="216" w:name="_Toc18357"/>
      <w:bookmarkStart w:id="217" w:name="_Toc24337"/>
      <w:bookmarkStart w:id="218" w:name="_Toc4501"/>
      <w:bookmarkStart w:id="219" w:name="_Toc32507"/>
      <w:bookmarkStart w:id="220" w:name="_Toc455867777"/>
      <w:bookmarkStart w:id="221" w:name="_Toc152042314"/>
      <w:bookmarkStart w:id="222" w:name="_Toc144974506"/>
      <w:bookmarkStart w:id="223" w:name="_Toc490667836"/>
      <w:bookmarkStart w:id="224" w:name="_Toc22378"/>
      <w:r>
        <w:rPr>
          <w:rFonts w:hint="eastAsia" w:ascii="宋体" w:hAnsi="宋体" w:eastAsia="宋体"/>
          <w:b/>
          <w:bCs/>
          <w:color w:val="auto"/>
          <w:sz w:val="21"/>
          <w:szCs w:val="21"/>
          <w:lang w:eastAsia="zh-CN"/>
        </w:rPr>
        <w:t>1.9 计量单位</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D72869C">
      <w:pPr>
        <w:spacing w:line="360" w:lineRule="auto"/>
        <w:ind w:firstLine="420"/>
        <w:rPr>
          <w:rFonts w:ascii="宋体" w:hAnsi="宋体" w:cs="宋体"/>
          <w:color w:val="auto"/>
          <w:lang w:eastAsia="zh-CN"/>
        </w:rPr>
      </w:pPr>
      <w:r>
        <w:rPr>
          <w:rFonts w:hint="eastAsia" w:ascii="宋体" w:hAnsi="宋体" w:cs="宋体"/>
          <w:color w:val="auto"/>
          <w:lang w:eastAsia="zh-CN"/>
        </w:rPr>
        <w:t>所有计量均采用中华人民共和国法定计量单位。</w:t>
      </w:r>
    </w:p>
    <w:p w14:paraId="32E029C2">
      <w:pPr>
        <w:pStyle w:val="37"/>
        <w:spacing w:line="360" w:lineRule="auto"/>
        <w:ind w:firstLine="422" w:firstLineChars="0"/>
        <w:outlineLvl w:val="9"/>
        <w:rPr>
          <w:rFonts w:ascii="宋体" w:hAnsi="宋体" w:eastAsia="宋体"/>
          <w:color w:val="auto"/>
          <w:sz w:val="21"/>
          <w:szCs w:val="21"/>
          <w:lang w:eastAsia="zh-CN"/>
        </w:rPr>
      </w:pPr>
      <w:bookmarkStart w:id="225" w:name="_Toc13675"/>
      <w:bookmarkStart w:id="226" w:name="_Toc318450684"/>
      <w:bookmarkStart w:id="227" w:name="_Toc490667837"/>
      <w:bookmarkStart w:id="228" w:name="_Toc455867778"/>
      <w:bookmarkStart w:id="229" w:name="_Toc152042316"/>
      <w:bookmarkStart w:id="230" w:name="_Toc455080118"/>
      <w:bookmarkStart w:id="231" w:name="_Toc19685"/>
      <w:bookmarkStart w:id="232" w:name="_Toc152045540"/>
      <w:bookmarkStart w:id="233" w:name="_Toc284"/>
      <w:bookmarkStart w:id="234" w:name="_Toc12027"/>
      <w:bookmarkStart w:id="235" w:name="_Toc18589"/>
      <w:bookmarkStart w:id="236" w:name="_Toc31195"/>
      <w:bookmarkStart w:id="237" w:name="_Toc2508"/>
      <w:bookmarkStart w:id="238" w:name="_Toc29845"/>
      <w:bookmarkStart w:id="239" w:name="_Toc338"/>
      <w:bookmarkStart w:id="240" w:name="_Toc466298101"/>
      <w:bookmarkStart w:id="241" w:name="_Toc27570"/>
      <w:bookmarkStart w:id="242" w:name="_Toc144974508"/>
      <w:bookmarkStart w:id="243" w:name="_Toc21856"/>
      <w:bookmarkStart w:id="244" w:name="_Toc2394"/>
      <w:r>
        <w:rPr>
          <w:rFonts w:hint="eastAsia" w:ascii="宋体" w:hAnsi="宋体" w:eastAsia="宋体"/>
          <w:b/>
          <w:bCs/>
          <w:color w:val="auto"/>
          <w:sz w:val="21"/>
          <w:szCs w:val="21"/>
          <w:lang w:eastAsia="zh-CN"/>
        </w:rPr>
        <w:t xml:space="preserve">1.10 </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ascii="宋体" w:hAnsi="宋体" w:eastAsia="宋体"/>
          <w:b/>
          <w:bCs/>
          <w:color w:val="auto"/>
          <w:sz w:val="21"/>
          <w:szCs w:val="21"/>
          <w:lang w:eastAsia="zh-CN"/>
        </w:rPr>
        <w:t>现场踏勘：</w:t>
      </w:r>
      <w:r>
        <w:rPr>
          <w:rFonts w:hint="eastAsia" w:ascii="宋体" w:hAnsi="宋体" w:eastAsia="宋体"/>
          <w:color w:val="auto"/>
          <w:sz w:val="21"/>
          <w:szCs w:val="21"/>
          <w:lang w:eastAsia="zh-CN"/>
        </w:rPr>
        <w:t>自行踏勘，与之相关的费用，供应商自行承担。</w:t>
      </w:r>
      <w:bookmarkEnd w:id="243"/>
      <w:bookmarkEnd w:id="244"/>
    </w:p>
    <w:p w14:paraId="1EF61E58">
      <w:pPr>
        <w:pStyle w:val="37"/>
        <w:spacing w:line="360" w:lineRule="auto"/>
        <w:ind w:firstLine="422" w:firstLineChars="0"/>
        <w:outlineLvl w:val="9"/>
        <w:rPr>
          <w:rFonts w:ascii="宋体" w:hAnsi="宋体" w:eastAsia="宋体"/>
          <w:b/>
          <w:bCs/>
          <w:color w:val="auto"/>
          <w:sz w:val="21"/>
          <w:szCs w:val="21"/>
          <w:lang w:eastAsia="zh-CN"/>
        </w:rPr>
      </w:pPr>
      <w:bookmarkStart w:id="245" w:name="_Toc466298102"/>
      <w:bookmarkStart w:id="246" w:name="_Toc152042317"/>
      <w:bookmarkStart w:id="247" w:name="_Toc24262"/>
      <w:bookmarkStart w:id="248" w:name="_Toc455867779"/>
      <w:bookmarkStart w:id="249" w:name="_Toc152045541"/>
      <w:bookmarkStart w:id="250" w:name="_Toc16469"/>
      <w:bookmarkStart w:id="251" w:name="_Toc14688"/>
      <w:bookmarkStart w:id="252" w:name="_Toc12562"/>
      <w:bookmarkStart w:id="253" w:name="_Toc11744"/>
      <w:bookmarkStart w:id="254" w:name="_Toc144974509"/>
      <w:bookmarkStart w:id="255" w:name="_Toc31725"/>
      <w:bookmarkStart w:id="256" w:name="_Toc23678"/>
      <w:bookmarkStart w:id="257" w:name="_Toc318450685"/>
      <w:bookmarkStart w:id="258" w:name="_Toc490667838"/>
      <w:bookmarkStart w:id="259" w:name="_Toc455080119"/>
      <w:bookmarkStart w:id="260" w:name="_Toc32757"/>
      <w:bookmarkStart w:id="261" w:name="_Toc3853"/>
      <w:bookmarkStart w:id="262" w:name="_Toc23635"/>
      <w:bookmarkStart w:id="263" w:name="_Toc25208"/>
      <w:bookmarkStart w:id="264" w:name="_Toc9182"/>
      <w:r>
        <w:rPr>
          <w:rFonts w:hint="eastAsia" w:ascii="宋体" w:hAnsi="宋体" w:eastAsia="宋体"/>
          <w:b/>
          <w:bCs/>
          <w:color w:val="auto"/>
          <w:sz w:val="21"/>
          <w:szCs w:val="21"/>
          <w:lang w:eastAsia="zh-CN"/>
        </w:rPr>
        <w:t>1.11分包</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5DC7F28B">
      <w:pPr>
        <w:spacing w:line="360" w:lineRule="auto"/>
        <w:ind w:firstLine="567" w:firstLineChars="270"/>
        <w:rPr>
          <w:rFonts w:ascii="宋体" w:hAnsi="宋体" w:cs="宋体"/>
          <w:color w:val="auto"/>
          <w:lang w:eastAsia="zh-CN"/>
        </w:rPr>
      </w:pPr>
      <w:r>
        <w:rPr>
          <w:rFonts w:hint="eastAsia" w:ascii="宋体" w:hAnsi="宋体" w:cs="宋体"/>
          <w:color w:val="auto"/>
          <w:lang w:eastAsia="zh-CN"/>
        </w:rPr>
        <w:t>是否允许分包：见供应商须知前附表。</w:t>
      </w:r>
      <w:bookmarkStart w:id="265" w:name="_Toc152042318"/>
      <w:bookmarkStart w:id="266" w:name="_Toc152045542"/>
      <w:bookmarkStart w:id="267" w:name="_Toc144974510"/>
      <w:bookmarkStart w:id="268" w:name="_Toc455080120"/>
    </w:p>
    <w:bookmarkEnd w:id="265"/>
    <w:bookmarkEnd w:id="266"/>
    <w:bookmarkEnd w:id="267"/>
    <w:p w14:paraId="61A9171B">
      <w:pPr>
        <w:pStyle w:val="6"/>
        <w:outlineLvl w:val="1"/>
        <w:rPr>
          <w:color w:val="auto"/>
          <w:sz w:val="24"/>
          <w:szCs w:val="24"/>
          <w:lang w:eastAsia="zh-CN"/>
        </w:rPr>
      </w:pPr>
      <w:bookmarkStart w:id="269" w:name="_Toc12453"/>
      <w:bookmarkStart w:id="270" w:name="_Toc31097"/>
      <w:bookmarkStart w:id="271" w:name="_Toc12156"/>
      <w:r>
        <w:rPr>
          <w:rFonts w:hint="eastAsia"/>
          <w:color w:val="auto"/>
          <w:sz w:val="24"/>
          <w:szCs w:val="24"/>
          <w:lang w:eastAsia="zh-CN"/>
        </w:rPr>
        <w:t>2.</w:t>
      </w:r>
      <w:bookmarkEnd w:id="268"/>
      <w:bookmarkEnd w:id="269"/>
      <w:r>
        <w:rPr>
          <w:rFonts w:hint="eastAsia"/>
          <w:color w:val="auto"/>
          <w:sz w:val="24"/>
          <w:szCs w:val="24"/>
          <w:lang w:eastAsia="zh-CN"/>
        </w:rPr>
        <w:t>竞争性磋商文件</w:t>
      </w:r>
      <w:bookmarkEnd w:id="270"/>
      <w:bookmarkEnd w:id="271"/>
    </w:p>
    <w:p w14:paraId="7E71A542">
      <w:pPr>
        <w:pStyle w:val="37"/>
        <w:spacing w:line="360" w:lineRule="auto"/>
        <w:ind w:firstLine="422" w:firstLineChars="0"/>
        <w:outlineLvl w:val="2"/>
        <w:rPr>
          <w:rFonts w:ascii="宋体" w:hAnsi="宋体" w:eastAsia="宋体"/>
          <w:b/>
          <w:bCs/>
          <w:color w:val="auto"/>
          <w:sz w:val="21"/>
          <w:szCs w:val="21"/>
          <w:lang w:eastAsia="zh-CN"/>
        </w:rPr>
      </w:pPr>
      <w:bookmarkStart w:id="272" w:name="_Toc12640"/>
      <w:bookmarkStart w:id="273" w:name="_Toc12004"/>
      <w:bookmarkStart w:id="274" w:name="_Toc152045543"/>
      <w:bookmarkStart w:id="275" w:name="_Toc32711"/>
      <w:bookmarkStart w:id="276" w:name="_Toc3982"/>
      <w:bookmarkStart w:id="277" w:name="_Toc23649"/>
      <w:bookmarkStart w:id="278" w:name="_Toc11599"/>
      <w:bookmarkStart w:id="279" w:name="_Toc5881"/>
      <w:bookmarkStart w:id="280" w:name="_Toc455867781"/>
      <w:bookmarkStart w:id="281" w:name="_Toc11567"/>
      <w:bookmarkStart w:id="282" w:name="_Toc318450687"/>
      <w:bookmarkStart w:id="283" w:name="_Toc490667840"/>
      <w:bookmarkStart w:id="284" w:name="_Toc152042319"/>
      <w:bookmarkStart w:id="285" w:name="_Toc144974511"/>
      <w:bookmarkStart w:id="286" w:name="_Toc1008"/>
      <w:bookmarkStart w:id="287" w:name="_Toc466298104"/>
      <w:bookmarkStart w:id="288" w:name="_Toc7999"/>
      <w:bookmarkStart w:id="289" w:name="_Toc12622"/>
      <w:bookmarkStart w:id="290" w:name="_Toc9780"/>
      <w:bookmarkStart w:id="291" w:name="_Toc455080121"/>
      <w:r>
        <w:rPr>
          <w:rFonts w:hint="eastAsia" w:ascii="宋体" w:hAnsi="宋体" w:eastAsia="宋体"/>
          <w:b/>
          <w:bCs/>
          <w:color w:val="auto"/>
          <w:sz w:val="21"/>
          <w:szCs w:val="21"/>
          <w:lang w:eastAsia="zh-CN"/>
        </w:rPr>
        <w:t>2.1 竞争性磋商文件的组成</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EF928EB">
      <w:pPr>
        <w:spacing w:line="360" w:lineRule="auto"/>
        <w:ind w:firstLine="420"/>
        <w:rPr>
          <w:rFonts w:ascii="宋体" w:hAnsi="宋体" w:cs="宋体"/>
          <w:color w:val="auto"/>
          <w:lang w:eastAsia="zh-CN"/>
        </w:rPr>
      </w:pPr>
      <w:r>
        <w:rPr>
          <w:rFonts w:hint="eastAsia" w:ascii="宋体" w:hAnsi="宋体" w:cs="宋体"/>
          <w:color w:val="auto"/>
          <w:lang w:eastAsia="zh-CN"/>
        </w:rPr>
        <w:t>　　本竞争性磋商文件包括：</w:t>
      </w:r>
    </w:p>
    <w:p w14:paraId="0E02887D">
      <w:pPr>
        <w:spacing w:line="360" w:lineRule="auto"/>
        <w:ind w:firstLine="359" w:firstLineChars="171"/>
        <w:rPr>
          <w:rFonts w:ascii="宋体" w:hAnsi="宋体" w:cs="宋体"/>
          <w:color w:val="auto"/>
          <w:lang w:eastAsia="zh-CN"/>
        </w:rPr>
      </w:pPr>
      <w:r>
        <w:rPr>
          <w:rFonts w:hint="eastAsia" w:ascii="宋体" w:hAnsi="宋体" w:cs="宋体"/>
          <w:color w:val="auto"/>
          <w:lang w:eastAsia="zh-CN"/>
        </w:rPr>
        <w:t>（1）竞争性磋商公告；</w:t>
      </w:r>
    </w:p>
    <w:p w14:paraId="6C171BD9">
      <w:pPr>
        <w:spacing w:line="360" w:lineRule="auto"/>
        <w:ind w:firstLine="359" w:firstLineChars="171"/>
        <w:rPr>
          <w:rFonts w:ascii="宋体" w:hAnsi="宋体" w:cs="宋体"/>
          <w:color w:val="auto"/>
          <w:lang w:eastAsia="zh-CN"/>
        </w:rPr>
      </w:pPr>
      <w:r>
        <w:rPr>
          <w:rFonts w:hint="eastAsia" w:ascii="宋体" w:hAnsi="宋体" w:cs="宋体"/>
          <w:color w:val="auto"/>
          <w:lang w:eastAsia="zh-CN"/>
        </w:rPr>
        <w:t>（2）供应商须知；</w:t>
      </w:r>
    </w:p>
    <w:p w14:paraId="0CB3743D">
      <w:pPr>
        <w:spacing w:line="360" w:lineRule="auto"/>
        <w:ind w:firstLine="359" w:firstLineChars="171"/>
        <w:rPr>
          <w:rFonts w:ascii="宋体" w:hAnsi="宋体" w:cs="宋体"/>
          <w:color w:val="auto"/>
          <w:lang w:eastAsia="zh-CN"/>
        </w:rPr>
      </w:pPr>
      <w:r>
        <w:rPr>
          <w:rFonts w:hint="eastAsia" w:ascii="宋体" w:hAnsi="宋体" w:cs="宋体"/>
          <w:color w:val="auto"/>
          <w:lang w:eastAsia="zh-CN"/>
        </w:rPr>
        <w:t>（3）评审办法；</w:t>
      </w:r>
    </w:p>
    <w:p w14:paraId="24F4CF09">
      <w:pPr>
        <w:spacing w:line="360" w:lineRule="auto"/>
        <w:ind w:firstLine="359" w:firstLineChars="171"/>
        <w:rPr>
          <w:rFonts w:ascii="宋体" w:hAnsi="宋体" w:cs="宋体"/>
          <w:color w:val="auto"/>
          <w:lang w:eastAsia="zh-CN"/>
        </w:rPr>
      </w:pPr>
      <w:r>
        <w:rPr>
          <w:rFonts w:hint="eastAsia" w:ascii="宋体" w:hAnsi="宋体" w:cs="宋体"/>
          <w:color w:val="auto"/>
          <w:lang w:eastAsia="zh-CN"/>
        </w:rPr>
        <w:t>（4）河南省政府采购合同（参考文本）；</w:t>
      </w:r>
    </w:p>
    <w:p w14:paraId="4CFE3F9E">
      <w:pPr>
        <w:spacing w:line="360" w:lineRule="auto"/>
        <w:ind w:firstLine="359" w:firstLineChars="171"/>
        <w:rPr>
          <w:rFonts w:ascii="宋体" w:hAnsi="宋体" w:cs="宋体"/>
          <w:color w:val="auto"/>
          <w:lang w:eastAsia="zh-CN"/>
        </w:rPr>
      </w:pPr>
      <w:r>
        <w:rPr>
          <w:rFonts w:hint="eastAsia" w:ascii="宋体" w:hAnsi="宋体" w:cs="宋体"/>
          <w:color w:val="auto"/>
          <w:lang w:eastAsia="zh-CN"/>
        </w:rPr>
        <w:t>（5）采购需求与技术要求；</w:t>
      </w:r>
    </w:p>
    <w:p w14:paraId="4361A1E0">
      <w:pPr>
        <w:spacing w:line="360" w:lineRule="auto"/>
        <w:ind w:firstLine="359" w:firstLineChars="171"/>
        <w:rPr>
          <w:rFonts w:ascii="宋体" w:hAnsi="宋体" w:cs="宋体"/>
          <w:color w:val="auto"/>
          <w:lang w:eastAsia="zh-CN"/>
        </w:rPr>
      </w:pPr>
      <w:r>
        <w:rPr>
          <w:rFonts w:hint="eastAsia" w:ascii="宋体" w:hAnsi="宋体" w:cs="宋体"/>
          <w:color w:val="auto"/>
          <w:lang w:eastAsia="zh-CN"/>
        </w:rPr>
        <w:t>（6）竞争性磋商响应文件格式；</w:t>
      </w:r>
    </w:p>
    <w:p w14:paraId="346048AD">
      <w:pPr>
        <w:spacing w:line="360" w:lineRule="auto"/>
        <w:ind w:firstLine="359" w:firstLineChars="171"/>
        <w:rPr>
          <w:rFonts w:ascii="宋体" w:hAnsi="宋体" w:cs="宋体"/>
          <w:color w:val="auto"/>
          <w:lang w:eastAsia="zh-CN"/>
        </w:rPr>
      </w:pPr>
      <w:r>
        <w:rPr>
          <w:rFonts w:hint="eastAsia" w:ascii="宋体" w:hAnsi="宋体" w:cs="宋体"/>
          <w:color w:val="auto"/>
          <w:lang w:eastAsia="zh-CN"/>
        </w:rPr>
        <w:t>（7）供应商须知前附表规定的其他材料。</w:t>
      </w:r>
    </w:p>
    <w:p w14:paraId="008059DD">
      <w:pPr>
        <w:spacing w:line="360" w:lineRule="auto"/>
        <w:ind w:firstLine="420"/>
        <w:rPr>
          <w:rFonts w:ascii="宋体" w:hAnsi="宋体" w:cs="宋体"/>
          <w:color w:val="auto"/>
          <w:lang w:eastAsia="zh-CN"/>
        </w:rPr>
      </w:pPr>
      <w:r>
        <w:rPr>
          <w:rFonts w:hint="eastAsia" w:ascii="宋体" w:hAnsi="宋体" w:cs="宋体"/>
          <w:color w:val="auto"/>
          <w:lang w:eastAsia="zh-CN"/>
        </w:rPr>
        <w:t>根据本章第2.2款和第2.3款对竞争性磋商文件所作的澄清、修改，构成竞争性磋商文件的组成部分。</w:t>
      </w:r>
    </w:p>
    <w:p w14:paraId="012D3E5B">
      <w:pPr>
        <w:pStyle w:val="37"/>
        <w:spacing w:line="360" w:lineRule="auto"/>
        <w:ind w:firstLine="422" w:firstLineChars="0"/>
        <w:outlineLvl w:val="2"/>
        <w:rPr>
          <w:rFonts w:ascii="宋体" w:hAnsi="宋体" w:eastAsia="宋体"/>
          <w:b/>
          <w:bCs/>
          <w:color w:val="auto"/>
          <w:sz w:val="21"/>
          <w:szCs w:val="21"/>
          <w:lang w:eastAsia="zh-CN"/>
        </w:rPr>
      </w:pPr>
      <w:bookmarkStart w:id="292" w:name="_Toc23381"/>
      <w:bookmarkStart w:id="293" w:name="_Toc32482"/>
      <w:bookmarkStart w:id="294" w:name="_Toc15658"/>
      <w:bookmarkStart w:id="295" w:name="_Toc152045546"/>
      <w:bookmarkStart w:id="296" w:name="_Toc152042322"/>
      <w:bookmarkStart w:id="297" w:name="_Toc144974514"/>
      <w:bookmarkStart w:id="298" w:name="_Toc455080124"/>
      <w:r>
        <w:rPr>
          <w:rFonts w:hint="eastAsia" w:ascii="宋体" w:hAnsi="宋体" w:eastAsia="宋体"/>
          <w:b/>
          <w:bCs/>
          <w:color w:val="auto"/>
          <w:sz w:val="21"/>
          <w:szCs w:val="21"/>
          <w:lang w:eastAsia="zh-CN"/>
        </w:rPr>
        <w:t>2.2 竞争性磋商文件的澄清</w:t>
      </w:r>
      <w:bookmarkEnd w:id="292"/>
      <w:bookmarkEnd w:id="293"/>
      <w:bookmarkEnd w:id="294"/>
    </w:p>
    <w:p w14:paraId="5A60F30B">
      <w:pPr>
        <w:spacing w:line="400" w:lineRule="exact"/>
        <w:ind w:firstLine="420"/>
        <w:rPr>
          <w:rFonts w:ascii="宋体" w:hAnsi="宋体" w:cs="宋体"/>
          <w:color w:val="auto"/>
          <w:lang w:eastAsia="zh-CN"/>
        </w:rPr>
      </w:pPr>
      <w:r>
        <w:rPr>
          <w:rFonts w:hint="eastAsia" w:ascii="宋体" w:hAnsi="宋体" w:cs="宋体"/>
          <w:color w:val="auto"/>
          <w:lang w:eastAsia="zh-CN"/>
        </w:rPr>
        <w:t>2.2.1供应商应仔细阅读和检查竞争性磋商文件的全部内容。如发现缺页或附件不全，应及时向采购人提出，以便补齐。如有疑问，应在供应商须知前附表规定的时间前</w:t>
      </w:r>
      <w:r>
        <w:rPr>
          <w:rFonts w:hint="eastAsia" w:ascii="宋体" w:hAnsi="宋体"/>
          <w:color w:val="auto"/>
          <w:lang w:eastAsia="zh-CN"/>
        </w:rPr>
        <w:t>以书面形式（包括信函、电报、传真等可以有形表现所载内容的形式，下同），</w:t>
      </w:r>
      <w:r>
        <w:rPr>
          <w:rFonts w:hint="eastAsia" w:ascii="宋体" w:hAnsi="宋体" w:cs="宋体"/>
          <w:color w:val="auto"/>
          <w:lang w:eastAsia="zh-CN"/>
        </w:rPr>
        <w:t>要求采购人对竞争性磋商文件予以澄清。</w:t>
      </w:r>
    </w:p>
    <w:p w14:paraId="47FBC538">
      <w:pPr>
        <w:spacing w:line="400" w:lineRule="exact"/>
        <w:ind w:firstLine="420"/>
        <w:rPr>
          <w:rFonts w:ascii="宋体" w:hAnsi="宋体" w:cs="宋体"/>
          <w:color w:val="auto"/>
          <w:lang w:eastAsia="zh-CN"/>
        </w:rPr>
      </w:pPr>
      <w:r>
        <w:rPr>
          <w:rFonts w:hint="eastAsia" w:ascii="宋体" w:hAnsi="宋体" w:cs="宋体"/>
          <w:color w:val="auto"/>
          <w:lang w:eastAsia="zh-CN"/>
        </w:rPr>
        <w:t>2.2.2 竞争性磋商文件的澄清将在供应商须知前附表规定的响应文件递交截止时间5天前在商丘市公共资源交易系统“变更公告”或“答疑文件”</w:t>
      </w:r>
      <w:r>
        <w:rPr>
          <w:rFonts w:hint="eastAsia" w:ascii="宋体" w:hAnsi="宋体"/>
          <w:color w:val="auto"/>
          <w:lang w:eastAsia="zh-CN"/>
        </w:rPr>
        <w:t>将澄清内容予以发布，</w:t>
      </w:r>
      <w:r>
        <w:rPr>
          <w:rFonts w:hint="eastAsia" w:ascii="宋体" w:hAnsi="宋体" w:cs="宋体"/>
          <w:color w:val="auto"/>
          <w:lang w:eastAsia="zh-CN"/>
        </w:rPr>
        <w:t>但不指明澄清问题的来源。如果澄清的内容可能影响响应文件编制且发出的时间距响应文件递交截止时间不足5天，相应延长投标截止时间。</w:t>
      </w:r>
    </w:p>
    <w:p w14:paraId="3A4462C6">
      <w:pPr>
        <w:spacing w:line="400" w:lineRule="exact"/>
        <w:ind w:firstLine="420"/>
        <w:rPr>
          <w:rFonts w:ascii="宋体" w:hAnsi="宋体" w:cs="宋体"/>
          <w:color w:val="auto"/>
          <w:lang w:eastAsia="zh-CN"/>
        </w:rPr>
      </w:pPr>
      <w:r>
        <w:rPr>
          <w:rFonts w:hint="eastAsia" w:ascii="宋体" w:hAnsi="宋体" w:cs="宋体"/>
          <w:color w:val="auto"/>
          <w:lang w:eastAsia="zh-CN"/>
        </w:rPr>
        <w:t>2.2.3供应商应在响应文件递交截止时间前及时查看澄清内容，因供应商未及时查看而造成的后果自负。</w:t>
      </w:r>
    </w:p>
    <w:p w14:paraId="0C147C94">
      <w:pPr>
        <w:pStyle w:val="37"/>
        <w:spacing w:line="360" w:lineRule="auto"/>
        <w:ind w:firstLine="422" w:firstLineChars="0"/>
        <w:outlineLvl w:val="2"/>
        <w:rPr>
          <w:rFonts w:ascii="宋体" w:hAnsi="宋体" w:eastAsia="宋体"/>
          <w:b/>
          <w:bCs/>
          <w:color w:val="auto"/>
          <w:sz w:val="21"/>
          <w:szCs w:val="21"/>
          <w:lang w:eastAsia="zh-CN"/>
        </w:rPr>
      </w:pPr>
      <w:bookmarkStart w:id="299" w:name="_Toc8263"/>
      <w:bookmarkStart w:id="300" w:name="_Toc29788"/>
      <w:bookmarkStart w:id="301" w:name="_Toc31482"/>
      <w:r>
        <w:rPr>
          <w:rFonts w:hint="eastAsia" w:ascii="宋体" w:hAnsi="宋体" w:eastAsia="宋体"/>
          <w:b/>
          <w:bCs/>
          <w:color w:val="auto"/>
          <w:sz w:val="21"/>
          <w:szCs w:val="21"/>
          <w:lang w:eastAsia="zh-CN"/>
        </w:rPr>
        <w:t>2.3 竞争性磋商文件的修改</w:t>
      </w:r>
      <w:bookmarkEnd w:id="299"/>
      <w:bookmarkEnd w:id="300"/>
      <w:bookmarkEnd w:id="301"/>
    </w:p>
    <w:p w14:paraId="23A60D64">
      <w:pPr>
        <w:spacing w:line="400" w:lineRule="exact"/>
        <w:ind w:firstLine="420"/>
        <w:rPr>
          <w:rFonts w:ascii="宋体" w:hAnsi="宋体" w:cs="宋体"/>
          <w:color w:val="auto"/>
          <w:lang w:eastAsia="zh-CN"/>
        </w:rPr>
      </w:pPr>
      <w:r>
        <w:rPr>
          <w:rFonts w:hint="eastAsia" w:ascii="宋体" w:hAnsi="宋体" w:cs="宋体"/>
          <w:color w:val="auto"/>
          <w:lang w:eastAsia="zh-CN"/>
        </w:rPr>
        <w:t>2.3.1 在响应文件递交截止时间5天前，采购人可以修改竞争性磋商文件。如有修改，应在商丘市公共资源交易系统“变更公告”或“答疑文件”</w:t>
      </w:r>
      <w:r>
        <w:rPr>
          <w:rFonts w:hint="eastAsia" w:ascii="宋体" w:hAnsi="宋体"/>
          <w:color w:val="auto"/>
          <w:lang w:eastAsia="zh-CN"/>
        </w:rPr>
        <w:t>将修改内容予以发布</w:t>
      </w:r>
      <w:r>
        <w:rPr>
          <w:rFonts w:hint="eastAsia" w:ascii="宋体" w:hAnsi="宋体" w:cs="宋体"/>
          <w:color w:val="auto"/>
          <w:lang w:eastAsia="zh-CN"/>
        </w:rPr>
        <w:t>。如果修改的内容可能影响响应文件编制且发出的时间距响应文件递交截止时间不足5天，相应延长响应文件递交截止时间。</w:t>
      </w:r>
    </w:p>
    <w:p w14:paraId="0FAAB63B">
      <w:pPr>
        <w:spacing w:line="400" w:lineRule="exact"/>
        <w:ind w:firstLine="420"/>
        <w:rPr>
          <w:rFonts w:ascii="宋体" w:hAnsi="宋体" w:cs="宋体"/>
          <w:color w:val="auto"/>
          <w:lang w:eastAsia="zh-CN"/>
        </w:rPr>
      </w:pPr>
      <w:r>
        <w:rPr>
          <w:rFonts w:hint="eastAsia" w:ascii="宋体" w:hAnsi="宋体" w:cs="宋体"/>
          <w:color w:val="auto"/>
          <w:lang w:eastAsia="zh-CN"/>
        </w:rPr>
        <w:t>2.3.2当竞争性磋商文件的澄清、修改、补充等在同一内容的表述上不一致时，以最后在商丘市公共资源交易系统发出的文件为准。</w:t>
      </w:r>
    </w:p>
    <w:p w14:paraId="5269F218">
      <w:pPr>
        <w:spacing w:line="400" w:lineRule="exact"/>
        <w:ind w:firstLine="420"/>
        <w:rPr>
          <w:rFonts w:ascii="宋体" w:hAnsi="宋体" w:cs="宋体"/>
          <w:color w:val="auto"/>
          <w:lang w:eastAsia="zh-CN"/>
        </w:rPr>
      </w:pPr>
      <w:r>
        <w:rPr>
          <w:rFonts w:hint="eastAsia" w:ascii="宋体" w:hAnsi="宋体" w:cs="宋体"/>
          <w:color w:val="auto"/>
          <w:lang w:eastAsia="zh-CN"/>
        </w:rPr>
        <w:t>2.3.3供应商应在响应文件递交截止时间前及时查看修改内容，因供应商未及时查看而造成的后果自负。</w:t>
      </w:r>
    </w:p>
    <w:p w14:paraId="218F0C97">
      <w:pPr>
        <w:pStyle w:val="6"/>
        <w:outlineLvl w:val="1"/>
        <w:rPr>
          <w:color w:val="auto"/>
          <w:sz w:val="24"/>
          <w:szCs w:val="24"/>
          <w:lang w:eastAsia="zh-CN"/>
        </w:rPr>
      </w:pPr>
      <w:bookmarkStart w:id="302" w:name="_Toc253"/>
      <w:bookmarkStart w:id="303" w:name="_Toc4666"/>
      <w:bookmarkStart w:id="304" w:name="_Toc32339"/>
      <w:r>
        <w:rPr>
          <w:rFonts w:hint="eastAsia"/>
          <w:color w:val="auto"/>
          <w:sz w:val="24"/>
          <w:szCs w:val="24"/>
          <w:lang w:eastAsia="zh-CN"/>
        </w:rPr>
        <w:t xml:space="preserve">3. </w:t>
      </w:r>
      <w:bookmarkEnd w:id="295"/>
      <w:bookmarkEnd w:id="296"/>
      <w:bookmarkEnd w:id="297"/>
      <w:r>
        <w:rPr>
          <w:rFonts w:hint="eastAsia"/>
          <w:color w:val="auto"/>
          <w:sz w:val="24"/>
          <w:szCs w:val="24"/>
          <w:lang w:eastAsia="zh-CN"/>
        </w:rPr>
        <w:t>响应文件</w:t>
      </w:r>
      <w:bookmarkEnd w:id="298"/>
      <w:bookmarkEnd w:id="302"/>
      <w:bookmarkEnd w:id="303"/>
      <w:bookmarkEnd w:id="304"/>
    </w:p>
    <w:p w14:paraId="030370DB">
      <w:pPr>
        <w:pStyle w:val="37"/>
        <w:spacing w:line="360" w:lineRule="auto"/>
        <w:ind w:firstLine="422"/>
        <w:outlineLvl w:val="9"/>
        <w:rPr>
          <w:rFonts w:ascii="宋体" w:hAnsi="宋体" w:eastAsia="宋体"/>
          <w:b/>
          <w:bCs/>
          <w:color w:val="auto"/>
          <w:sz w:val="21"/>
          <w:szCs w:val="21"/>
          <w:lang w:eastAsia="zh-CN"/>
        </w:rPr>
      </w:pPr>
      <w:bookmarkStart w:id="305" w:name="_Toc24440"/>
      <w:bookmarkStart w:id="306" w:name="_Toc27373"/>
      <w:bookmarkStart w:id="307" w:name="_Toc490667844"/>
      <w:bookmarkStart w:id="308" w:name="_Toc152045547"/>
      <w:bookmarkStart w:id="309" w:name="_Toc144974515"/>
      <w:bookmarkStart w:id="310" w:name="_Toc152042323"/>
      <w:bookmarkStart w:id="311" w:name="_Toc15810"/>
      <w:bookmarkStart w:id="312" w:name="_Toc9273"/>
      <w:bookmarkStart w:id="313" w:name="_Toc30170"/>
      <w:bookmarkStart w:id="314" w:name="_Toc10096"/>
      <w:bookmarkStart w:id="315" w:name="_Toc16198"/>
      <w:bookmarkStart w:id="316" w:name="_Toc318450691"/>
      <w:r>
        <w:rPr>
          <w:rFonts w:hint="eastAsia" w:ascii="宋体" w:hAnsi="宋体" w:eastAsia="宋体"/>
          <w:b/>
          <w:bCs/>
          <w:color w:val="auto"/>
          <w:sz w:val="21"/>
          <w:szCs w:val="21"/>
          <w:lang w:eastAsia="zh-CN"/>
        </w:rPr>
        <w:t>3.1 响应文件的组成</w:t>
      </w:r>
      <w:bookmarkEnd w:id="305"/>
      <w:bookmarkEnd w:id="306"/>
      <w:bookmarkEnd w:id="307"/>
      <w:bookmarkEnd w:id="308"/>
      <w:bookmarkEnd w:id="309"/>
      <w:bookmarkEnd w:id="310"/>
      <w:bookmarkEnd w:id="311"/>
      <w:bookmarkEnd w:id="312"/>
      <w:bookmarkEnd w:id="313"/>
      <w:bookmarkEnd w:id="314"/>
      <w:bookmarkEnd w:id="315"/>
      <w:bookmarkEnd w:id="316"/>
    </w:p>
    <w:p w14:paraId="186BA603">
      <w:pPr>
        <w:spacing w:line="400" w:lineRule="exact"/>
        <w:ind w:firstLine="420"/>
        <w:rPr>
          <w:rFonts w:ascii="宋体" w:hAnsi="宋体" w:cs="宋体"/>
          <w:color w:val="auto"/>
          <w:lang w:eastAsia="zh-CN"/>
        </w:rPr>
      </w:pPr>
      <w:bookmarkStart w:id="317" w:name="_Toc152042324"/>
      <w:bookmarkStart w:id="318" w:name="_Toc899"/>
      <w:bookmarkStart w:id="319" w:name="_Toc318450692"/>
      <w:bookmarkStart w:id="320" w:name="_Toc279156232"/>
      <w:bookmarkStart w:id="321" w:name="_Toc152045548"/>
      <w:bookmarkStart w:id="322" w:name="_Toc144974516"/>
      <w:bookmarkStart w:id="323" w:name="_Toc26291"/>
      <w:r>
        <w:rPr>
          <w:rFonts w:hint="eastAsia" w:ascii="宋体" w:hAnsi="宋体" w:cs="宋体"/>
          <w:color w:val="auto"/>
          <w:lang w:eastAsia="zh-CN"/>
        </w:rPr>
        <w:t>响应文件应包括下列内容</w:t>
      </w:r>
      <w:r>
        <w:rPr>
          <w:rFonts w:hint="eastAsia" w:ascii="宋体" w:hAnsi="宋体" w:cs="宋体"/>
          <w:b/>
          <w:bCs/>
          <w:color w:val="auto"/>
          <w:lang w:eastAsia="zh-CN"/>
        </w:rPr>
        <w:t>（根据项目特点合理调整内容）：</w:t>
      </w:r>
    </w:p>
    <w:p w14:paraId="3D146D46">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 xml:space="preserve">1）响应函及响应函附录 </w:t>
      </w:r>
    </w:p>
    <w:p w14:paraId="05C10B2C">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2）法定代表人身份证明</w:t>
      </w:r>
    </w:p>
    <w:p w14:paraId="420FFCC2">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 xml:space="preserve">3）授权委托书 </w:t>
      </w:r>
    </w:p>
    <w:p w14:paraId="1117D3F7">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4）分项报价表</w:t>
      </w:r>
    </w:p>
    <w:p w14:paraId="781EF93B">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5）商务偏差表</w:t>
      </w:r>
    </w:p>
    <w:p w14:paraId="6AB65E8C">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6）采购需求与技术要求承诺函</w:t>
      </w:r>
    </w:p>
    <w:p w14:paraId="49E426D3">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7）技术服务方案</w:t>
      </w:r>
    </w:p>
    <w:p w14:paraId="7A0E505D">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8）服务承诺</w:t>
      </w:r>
    </w:p>
    <w:p w14:paraId="42F973B0">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9）资格证明材料</w:t>
      </w:r>
    </w:p>
    <w:p w14:paraId="5F639BCC">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10）中小企业声明函(服务)</w:t>
      </w:r>
    </w:p>
    <w:p w14:paraId="0FAB6F12">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11）残疾人福利性单位声明函(如有)</w:t>
      </w:r>
    </w:p>
    <w:p w14:paraId="0661A369">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12）监狱企业证明文件（如有）</w:t>
      </w:r>
    </w:p>
    <w:p w14:paraId="37933694">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13）反商业贿赂承诺书</w:t>
      </w:r>
    </w:p>
    <w:p w14:paraId="16BF184A">
      <w:pPr>
        <w:pStyle w:val="2"/>
        <w:spacing w:line="400" w:lineRule="exact"/>
        <w:ind w:firstLineChars="200"/>
        <w:rPr>
          <w:rFonts w:ascii="宋体" w:hAnsi="宋体" w:cs="宋体"/>
          <w:bCs/>
          <w:color w:val="auto"/>
          <w:lang w:eastAsia="zh-CN"/>
        </w:rPr>
      </w:pPr>
      <w:r>
        <w:rPr>
          <w:rFonts w:hint="eastAsia" w:ascii="宋体" w:hAnsi="宋体" w:cs="宋体"/>
          <w:bCs/>
          <w:color w:val="auto"/>
          <w:lang w:eastAsia="zh-CN"/>
        </w:rPr>
        <w:t>14）其他材料</w:t>
      </w:r>
    </w:p>
    <w:p w14:paraId="13773434">
      <w:pPr>
        <w:spacing w:line="360" w:lineRule="auto"/>
        <w:ind w:firstLine="422"/>
        <w:rPr>
          <w:rFonts w:ascii="宋体" w:hAnsi="宋体" w:cs="宋体"/>
          <w:b/>
          <w:bCs/>
          <w:color w:val="auto"/>
          <w:lang w:eastAsia="zh-CN"/>
        </w:rPr>
      </w:pPr>
      <w:r>
        <w:rPr>
          <w:rFonts w:hint="eastAsia" w:ascii="宋体" w:hAnsi="宋体" w:cs="宋体"/>
          <w:b/>
          <w:bCs/>
          <w:color w:val="auto"/>
          <w:lang w:eastAsia="zh-CN"/>
        </w:rPr>
        <w:t>3.2 磋商报价</w:t>
      </w:r>
      <w:bookmarkEnd w:id="317"/>
      <w:bookmarkEnd w:id="318"/>
      <w:bookmarkEnd w:id="319"/>
      <w:bookmarkEnd w:id="320"/>
      <w:bookmarkEnd w:id="321"/>
      <w:bookmarkEnd w:id="322"/>
      <w:bookmarkEnd w:id="323"/>
    </w:p>
    <w:p w14:paraId="22F580C9">
      <w:pPr>
        <w:tabs>
          <w:tab w:val="left" w:pos="0"/>
          <w:tab w:val="left" w:pos="1050"/>
        </w:tabs>
        <w:spacing w:line="440" w:lineRule="exact"/>
        <w:ind w:firstLine="365" w:firstLineChars="174"/>
        <w:rPr>
          <w:rFonts w:ascii="宋体" w:hAnsi="宋体" w:cs="宋体"/>
          <w:color w:val="auto"/>
          <w:lang w:eastAsia="zh-CN"/>
        </w:rPr>
      </w:pPr>
      <w:bookmarkStart w:id="324" w:name="_Toc12402"/>
      <w:bookmarkStart w:id="325" w:name="_Toc21600"/>
      <w:bookmarkStart w:id="326" w:name="_Toc144974517"/>
      <w:bookmarkStart w:id="327" w:name="_Toc7105"/>
      <w:bookmarkStart w:id="328" w:name="_Toc152042325"/>
      <w:bookmarkStart w:id="329" w:name="_Toc466298109"/>
      <w:bookmarkStart w:id="330" w:name="_Toc3624"/>
      <w:bookmarkStart w:id="331" w:name="_Toc490667846"/>
      <w:bookmarkStart w:id="332" w:name="_Toc6105"/>
      <w:bookmarkStart w:id="333" w:name="_Toc25387"/>
      <w:bookmarkStart w:id="334" w:name="_Toc318450693"/>
      <w:bookmarkStart w:id="335" w:name="_Toc7910"/>
      <w:bookmarkStart w:id="336" w:name="_Toc152045549"/>
      <w:bookmarkStart w:id="337" w:name="_Toc455867786"/>
      <w:bookmarkStart w:id="338" w:name="_Toc455080126"/>
      <w:bookmarkStart w:id="339" w:name="_Toc11968"/>
      <w:bookmarkStart w:id="340" w:name="_Toc29133"/>
      <w:bookmarkStart w:id="341" w:name="_Toc2425"/>
      <w:bookmarkStart w:id="342" w:name="_Toc21680"/>
      <w:r>
        <w:rPr>
          <w:rFonts w:hint="eastAsia" w:ascii="宋体" w:hAnsi="宋体" w:cs="宋体"/>
          <w:color w:val="auto"/>
          <w:lang w:eastAsia="zh-CN"/>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检查费、防治费、监测装置费、方案印刷费、方案编制费用、人员工资、差旅费、保险费、税费、培训费等合同期间所发生的所有费用，但不得低于企业成本，分二次报价：第一次报价必须按照竞争性磋商文件的报价格式填报，第二次报价在磋商中填报，第二次报价（不得高于第一次报价）即为最终报价</w:t>
      </w:r>
      <w:bookmarkEnd w:id="324"/>
      <w:r>
        <w:rPr>
          <w:rFonts w:hint="eastAsia" w:ascii="宋体" w:hAnsi="宋体" w:cs="宋体"/>
          <w:color w:val="auto"/>
          <w:lang w:eastAsia="zh-CN"/>
        </w:rPr>
        <w:t>。</w:t>
      </w:r>
    </w:p>
    <w:p w14:paraId="400FD660">
      <w:pPr>
        <w:tabs>
          <w:tab w:val="left" w:pos="0"/>
          <w:tab w:val="left" w:pos="1050"/>
        </w:tabs>
        <w:spacing w:line="440" w:lineRule="exact"/>
        <w:ind w:firstLine="365" w:firstLineChars="174"/>
        <w:rPr>
          <w:rFonts w:ascii="宋体" w:hAnsi="宋体" w:cs="宋体"/>
          <w:color w:val="auto"/>
          <w:lang w:eastAsia="zh-CN"/>
        </w:rPr>
      </w:pPr>
      <w:r>
        <w:rPr>
          <w:rFonts w:hint="eastAsia" w:ascii="宋体" w:hAnsi="宋体" w:cs="宋体"/>
          <w:color w:val="auto"/>
          <w:lang w:eastAsia="zh-CN"/>
        </w:rPr>
        <w:t>3.2.2供应商应充分了解该项目的总体情况以及影响磋商报价的其它要素，考虑供货期间的价格风险因素，成交价在合同实施期内不得调整，同时也不因市场价格变动而调整。</w:t>
      </w:r>
    </w:p>
    <w:p w14:paraId="75E69A2F">
      <w:pPr>
        <w:tabs>
          <w:tab w:val="left" w:pos="0"/>
          <w:tab w:val="left" w:pos="1050"/>
        </w:tabs>
        <w:spacing w:line="440" w:lineRule="exact"/>
        <w:ind w:firstLine="365" w:firstLineChars="174"/>
        <w:rPr>
          <w:rFonts w:ascii="宋体" w:hAnsi="宋体" w:cs="宋体"/>
          <w:color w:val="auto"/>
          <w:lang w:eastAsia="zh-CN"/>
        </w:rPr>
      </w:pPr>
      <w:r>
        <w:rPr>
          <w:rFonts w:hint="eastAsia" w:ascii="宋体" w:hAnsi="宋体" w:cs="宋体"/>
          <w:color w:val="auto"/>
          <w:lang w:eastAsia="zh-CN"/>
        </w:rPr>
        <w:t>3.2.3 响应报价表中的大写金额和小写金额不一致的，以大写金额为准。</w:t>
      </w:r>
    </w:p>
    <w:p w14:paraId="278A0028">
      <w:pPr>
        <w:tabs>
          <w:tab w:val="left" w:pos="0"/>
          <w:tab w:val="left" w:pos="1050"/>
        </w:tabs>
        <w:spacing w:line="440" w:lineRule="exact"/>
        <w:ind w:firstLine="365" w:firstLineChars="174"/>
        <w:rPr>
          <w:rFonts w:ascii="宋体" w:hAnsi="宋体" w:cs="宋体"/>
          <w:color w:val="auto"/>
          <w:lang w:eastAsia="zh-CN"/>
        </w:rPr>
      </w:pPr>
      <w:r>
        <w:rPr>
          <w:rFonts w:hint="eastAsia" w:ascii="宋体" w:hAnsi="宋体" w:cs="宋体"/>
          <w:color w:val="auto"/>
          <w:lang w:eastAsia="zh-CN"/>
        </w:rPr>
        <w:t xml:space="preserve">3.2.4供应商的报价明显低于其他通过符合性审查供应商的报价，有可能影响产品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 </w:t>
      </w:r>
      <w:r>
        <w:rPr>
          <w:rFonts w:hint="eastAsia" w:ascii="宋体" w:hAnsi="宋体" w:cs="宋体"/>
          <w:b/>
          <w:bCs/>
          <w:color w:val="auto"/>
          <w:lang w:eastAsia="zh-CN"/>
        </w:rPr>
        <w:t xml:space="preserve"> </w:t>
      </w:r>
    </w:p>
    <w:p w14:paraId="17DFC1E0">
      <w:pPr>
        <w:spacing w:line="400" w:lineRule="exact"/>
        <w:ind w:firstLine="420"/>
        <w:rPr>
          <w:rFonts w:ascii="宋体" w:hAnsi="宋体" w:cs="宋体"/>
          <w:color w:val="auto"/>
          <w:lang w:eastAsia="zh-CN"/>
        </w:rPr>
      </w:pPr>
      <w:r>
        <w:rPr>
          <w:rFonts w:hint="eastAsia" w:ascii="宋体" w:hAnsi="宋体" w:cs="宋体"/>
          <w:color w:val="auto"/>
          <w:lang w:eastAsia="zh-CN"/>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41C9C5D1">
      <w:pPr>
        <w:spacing w:line="400" w:lineRule="exact"/>
        <w:ind w:firstLine="422"/>
        <w:rPr>
          <w:rFonts w:ascii="宋体" w:hAnsi="宋体" w:cs="宋体"/>
          <w:b/>
          <w:bCs/>
          <w:color w:val="auto"/>
          <w:lang w:eastAsia="zh-CN"/>
        </w:rPr>
      </w:pPr>
      <w:r>
        <w:rPr>
          <w:rFonts w:hint="eastAsia" w:ascii="宋体" w:hAnsi="宋体" w:cs="宋体"/>
          <w:b/>
          <w:bCs/>
          <w:color w:val="auto"/>
          <w:lang w:eastAsia="zh-CN"/>
        </w:rPr>
        <w:t>注：投标价格为含税价。</w:t>
      </w:r>
    </w:p>
    <w:p w14:paraId="4D872F0D">
      <w:pPr>
        <w:pStyle w:val="37"/>
        <w:spacing w:line="360" w:lineRule="auto"/>
        <w:ind w:firstLine="422" w:firstLineChars="0"/>
        <w:outlineLvl w:val="9"/>
        <w:rPr>
          <w:rFonts w:ascii="宋体" w:hAnsi="宋体" w:eastAsia="宋体"/>
          <w:b/>
          <w:bCs/>
          <w:color w:val="auto"/>
          <w:sz w:val="21"/>
          <w:szCs w:val="21"/>
          <w:lang w:eastAsia="zh-CN"/>
        </w:rPr>
      </w:pPr>
      <w:bookmarkStart w:id="343" w:name="_Toc24881"/>
      <w:bookmarkStart w:id="344" w:name="_Toc23327"/>
      <w:r>
        <w:rPr>
          <w:rFonts w:hint="eastAsia" w:ascii="宋体" w:hAnsi="宋体" w:eastAsia="宋体"/>
          <w:b/>
          <w:bCs/>
          <w:color w:val="auto"/>
          <w:sz w:val="21"/>
          <w:szCs w:val="21"/>
          <w:lang w:eastAsia="zh-CN"/>
        </w:rPr>
        <w:t>3.3 磋商有效期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B2029FF">
      <w:pPr>
        <w:spacing w:line="360" w:lineRule="auto"/>
        <w:ind w:firstLine="420"/>
        <w:rPr>
          <w:rFonts w:ascii="宋体" w:hAnsi="宋体" w:cs="宋体"/>
          <w:color w:val="auto"/>
          <w:lang w:eastAsia="zh-CN"/>
        </w:rPr>
      </w:pPr>
      <w:r>
        <w:rPr>
          <w:rFonts w:hint="eastAsia" w:ascii="宋体" w:hAnsi="宋体" w:cs="宋体"/>
          <w:color w:val="auto"/>
          <w:lang w:eastAsia="zh-CN"/>
        </w:rPr>
        <w:t>3.3.1 在供应商须知前附表规定的磋商有效期内，供应商不得要求撤销或修改其响应文件。</w:t>
      </w:r>
    </w:p>
    <w:p w14:paraId="4D7310BC">
      <w:pPr>
        <w:spacing w:line="360" w:lineRule="auto"/>
        <w:ind w:firstLine="420"/>
        <w:rPr>
          <w:rFonts w:ascii="宋体" w:hAnsi="宋体" w:cs="宋体"/>
          <w:color w:val="auto"/>
          <w:lang w:eastAsia="zh-CN"/>
        </w:rPr>
      </w:pPr>
      <w:r>
        <w:rPr>
          <w:rFonts w:hint="eastAsia" w:ascii="宋体" w:hAnsi="宋体" w:cs="宋体"/>
          <w:color w:val="auto"/>
          <w:lang w:eastAsia="zh-CN"/>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0B076FCD">
      <w:pPr>
        <w:pStyle w:val="37"/>
        <w:spacing w:line="360" w:lineRule="auto"/>
        <w:ind w:firstLine="422" w:firstLineChars="0"/>
        <w:outlineLvl w:val="9"/>
        <w:rPr>
          <w:rFonts w:ascii="宋体" w:hAnsi="宋体" w:eastAsia="宋体"/>
          <w:b/>
          <w:bCs/>
          <w:color w:val="auto"/>
          <w:sz w:val="21"/>
          <w:szCs w:val="21"/>
          <w:lang w:eastAsia="zh-CN"/>
        </w:rPr>
      </w:pPr>
      <w:bookmarkStart w:id="345" w:name="_Toc318450694"/>
      <w:bookmarkStart w:id="346" w:name="_Toc466298110"/>
      <w:bookmarkStart w:id="347" w:name="_Toc7973"/>
      <w:bookmarkStart w:id="348" w:name="_Toc22634"/>
      <w:bookmarkStart w:id="349" w:name="_Toc2505"/>
      <w:bookmarkStart w:id="350" w:name="_Toc8406"/>
      <w:bookmarkStart w:id="351" w:name="_Toc7057"/>
      <w:bookmarkStart w:id="352" w:name="_Toc152045550"/>
      <w:bookmarkStart w:id="353" w:name="_Toc7618"/>
      <w:bookmarkStart w:id="354" w:name="_Toc152042326"/>
      <w:bookmarkStart w:id="355" w:name="_Toc455080127"/>
      <w:bookmarkStart w:id="356" w:name="_Toc4165"/>
      <w:bookmarkStart w:id="357" w:name="_Toc144974518"/>
      <w:bookmarkStart w:id="358" w:name="_Toc455867787"/>
      <w:bookmarkStart w:id="359" w:name="_Toc490667847"/>
      <w:bookmarkStart w:id="360" w:name="_Toc30697"/>
      <w:bookmarkStart w:id="361" w:name="_Toc10370"/>
      <w:bookmarkStart w:id="362" w:name="_Toc10015"/>
      <w:bookmarkStart w:id="363" w:name="_Toc13012"/>
      <w:bookmarkStart w:id="364" w:name="_Toc13921"/>
      <w:r>
        <w:rPr>
          <w:rFonts w:hint="eastAsia" w:ascii="宋体" w:hAnsi="宋体" w:eastAsia="宋体"/>
          <w:b/>
          <w:bCs/>
          <w:color w:val="auto"/>
          <w:sz w:val="21"/>
          <w:szCs w:val="21"/>
          <w:lang w:eastAsia="zh-CN"/>
        </w:rPr>
        <w:t>3.4 磋商保证金</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5" w:name="_Toc152045552"/>
      <w:bookmarkStart w:id="366" w:name="_Toc152042328"/>
      <w:bookmarkStart w:id="367" w:name="_Toc144974520"/>
      <w:bookmarkStart w:id="368" w:name="_Toc318450695"/>
      <w:r>
        <w:rPr>
          <w:rFonts w:hint="eastAsia" w:ascii="宋体" w:hAnsi="宋体" w:eastAsia="宋体"/>
          <w:b/>
          <w:bCs/>
          <w:color w:val="auto"/>
          <w:sz w:val="21"/>
          <w:szCs w:val="21"/>
          <w:lang w:eastAsia="zh-CN"/>
        </w:rPr>
        <w:t>：无。</w:t>
      </w:r>
      <w:bookmarkEnd w:id="362"/>
      <w:bookmarkEnd w:id="363"/>
      <w:bookmarkEnd w:id="364"/>
    </w:p>
    <w:p w14:paraId="2676D53C">
      <w:pPr>
        <w:pStyle w:val="37"/>
        <w:spacing w:line="360" w:lineRule="auto"/>
        <w:ind w:firstLine="422" w:firstLineChars="0"/>
        <w:outlineLvl w:val="9"/>
        <w:rPr>
          <w:rFonts w:ascii="宋体" w:hAnsi="宋体" w:eastAsia="宋体"/>
          <w:b/>
          <w:bCs/>
          <w:color w:val="auto"/>
          <w:sz w:val="21"/>
          <w:szCs w:val="21"/>
          <w:lang w:eastAsia="zh-CN"/>
        </w:rPr>
      </w:pPr>
      <w:bookmarkStart w:id="369" w:name="_Toc5920"/>
      <w:bookmarkStart w:id="370" w:name="_Toc455867788"/>
      <w:bookmarkStart w:id="371" w:name="_Toc22527"/>
      <w:bookmarkStart w:id="372" w:name="_Toc22384"/>
      <w:bookmarkStart w:id="373" w:name="_Toc2794"/>
      <w:bookmarkStart w:id="374" w:name="_Toc20328"/>
      <w:bookmarkStart w:id="375" w:name="_Toc15547"/>
      <w:bookmarkStart w:id="376" w:name="_Toc490667848"/>
      <w:bookmarkStart w:id="377" w:name="_Toc28324"/>
      <w:bookmarkStart w:id="378" w:name="_Toc466298111"/>
      <w:bookmarkStart w:id="379" w:name="_Toc13680"/>
      <w:bookmarkStart w:id="380" w:name="_Toc16747"/>
      <w:bookmarkStart w:id="381" w:name="_Toc455080128"/>
      <w:bookmarkStart w:id="382" w:name="_Toc27579"/>
      <w:bookmarkStart w:id="383" w:name="_Toc17153"/>
      <w:bookmarkStart w:id="384" w:name="_Toc11077"/>
      <w:r>
        <w:rPr>
          <w:rFonts w:hint="eastAsia" w:ascii="宋体" w:hAnsi="宋体" w:eastAsia="宋体"/>
          <w:b/>
          <w:bCs/>
          <w:color w:val="auto"/>
          <w:sz w:val="21"/>
          <w:szCs w:val="21"/>
          <w:lang w:eastAsia="zh-CN"/>
        </w:rPr>
        <w:t>3.5资格审查资料</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BC07473">
      <w:pPr>
        <w:pStyle w:val="37"/>
        <w:spacing w:line="360" w:lineRule="auto"/>
        <w:outlineLvl w:val="9"/>
        <w:rPr>
          <w:rFonts w:ascii="宋体" w:hAnsi="宋体" w:eastAsia="宋体"/>
          <w:color w:val="auto"/>
          <w:sz w:val="21"/>
          <w:szCs w:val="21"/>
          <w:lang w:eastAsia="zh-CN"/>
        </w:rPr>
      </w:pPr>
      <w:bookmarkStart w:id="385" w:name="_Toc4586"/>
      <w:bookmarkStart w:id="386" w:name="_Toc6539"/>
      <w:bookmarkStart w:id="387" w:name="_Toc9718"/>
      <w:bookmarkStart w:id="388" w:name="_Toc30442"/>
      <w:bookmarkStart w:id="389" w:name="_Toc318450696"/>
      <w:bookmarkStart w:id="390" w:name="_Toc3286"/>
      <w:bookmarkStart w:id="391" w:name="_Toc9015"/>
      <w:bookmarkStart w:id="392" w:name="_Toc455867789"/>
      <w:bookmarkStart w:id="393" w:name="_Toc455080129"/>
      <w:bookmarkStart w:id="394" w:name="_Toc490667849"/>
      <w:bookmarkStart w:id="395" w:name="_Toc152042329"/>
      <w:bookmarkStart w:id="396" w:name="_Toc5132"/>
      <w:bookmarkStart w:id="397" w:name="_Toc11694"/>
      <w:bookmarkStart w:id="398" w:name="_Toc152045553"/>
      <w:bookmarkStart w:id="399" w:name="_Toc19724"/>
      <w:bookmarkStart w:id="400" w:name="_Toc1228"/>
      <w:bookmarkStart w:id="401" w:name="_Toc26258"/>
      <w:bookmarkStart w:id="402" w:name="_Toc144974521"/>
      <w:bookmarkStart w:id="403" w:name="_Toc18915"/>
      <w:bookmarkStart w:id="404" w:name="_Toc466298112"/>
      <w:r>
        <w:rPr>
          <w:rFonts w:hint="eastAsia" w:ascii="宋体" w:hAnsi="宋体" w:eastAsia="宋体"/>
          <w:color w:val="auto"/>
          <w:sz w:val="21"/>
          <w:szCs w:val="21"/>
          <w:lang w:eastAsia="zh-CN"/>
        </w:rPr>
        <w:t>按照第二章供应商须知表“供应商须知前附表”1.5.1要求，提供其他相关材料。</w:t>
      </w:r>
      <w:bookmarkEnd w:id="385"/>
      <w:bookmarkEnd w:id="386"/>
      <w:bookmarkEnd w:id="387"/>
    </w:p>
    <w:p w14:paraId="3C2C22B2">
      <w:pPr>
        <w:pStyle w:val="37"/>
        <w:spacing w:line="360" w:lineRule="auto"/>
        <w:ind w:firstLine="422" w:firstLineChars="0"/>
        <w:outlineLvl w:val="9"/>
        <w:rPr>
          <w:rFonts w:ascii="宋体" w:hAnsi="宋体" w:eastAsia="宋体"/>
          <w:b/>
          <w:bCs/>
          <w:color w:val="auto"/>
          <w:sz w:val="21"/>
          <w:szCs w:val="21"/>
          <w:lang w:eastAsia="zh-CN"/>
        </w:rPr>
      </w:pPr>
      <w:bookmarkStart w:id="405" w:name="_Toc28595"/>
      <w:bookmarkStart w:id="406" w:name="_Toc24859"/>
      <w:bookmarkStart w:id="407" w:name="_Toc2288"/>
      <w:r>
        <w:rPr>
          <w:rFonts w:hint="eastAsia" w:ascii="宋体" w:hAnsi="宋体" w:eastAsia="宋体"/>
          <w:b/>
          <w:bCs/>
          <w:color w:val="auto"/>
          <w:sz w:val="21"/>
          <w:szCs w:val="21"/>
          <w:lang w:eastAsia="zh-CN"/>
        </w:rPr>
        <w:t>3.6 备选方案</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64D71AA">
      <w:pPr>
        <w:spacing w:line="360" w:lineRule="auto"/>
        <w:ind w:firstLine="420"/>
        <w:rPr>
          <w:rFonts w:ascii="宋体" w:hAnsi="宋体" w:cs="宋体"/>
          <w:color w:val="auto"/>
          <w:lang w:eastAsia="zh-CN"/>
        </w:rPr>
      </w:pPr>
      <w:r>
        <w:rPr>
          <w:rFonts w:hint="eastAsia" w:ascii="宋体" w:hAnsi="宋体" w:cs="宋体"/>
          <w:color w:val="auto"/>
          <w:lang w:eastAsia="zh-CN"/>
        </w:rPr>
        <w:t>除供应商须知前附表另有规定外，供应商不得递交备选磋商方案。</w:t>
      </w:r>
    </w:p>
    <w:p w14:paraId="1E716321">
      <w:pPr>
        <w:pStyle w:val="37"/>
        <w:spacing w:line="360" w:lineRule="auto"/>
        <w:ind w:firstLine="422" w:firstLineChars="0"/>
        <w:outlineLvl w:val="9"/>
        <w:rPr>
          <w:rFonts w:ascii="宋体" w:hAnsi="宋体" w:eastAsia="宋体"/>
          <w:b/>
          <w:bCs/>
          <w:color w:val="auto"/>
          <w:sz w:val="21"/>
          <w:szCs w:val="21"/>
          <w:lang w:eastAsia="zh-CN"/>
        </w:rPr>
      </w:pPr>
      <w:bookmarkStart w:id="408" w:name="_Toc28656"/>
      <w:bookmarkStart w:id="409" w:name="_Toc5874"/>
      <w:bookmarkStart w:id="410" w:name="_Toc10662"/>
      <w:bookmarkStart w:id="411" w:name="_Toc152045554"/>
      <w:bookmarkStart w:id="412" w:name="_Toc466298113"/>
      <w:bookmarkStart w:id="413" w:name="_Toc5516"/>
      <w:bookmarkStart w:id="414" w:name="_Toc25620"/>
      <w:bookmarkStart w:id="415" w:name="_Toc12275"/>
      <w:bookmarkStart w:id="416" w:name="_Toc152042330"/>
      <w:bookmarkStart w:id="417" w:name="_Toc455080130"/>
      <w:bookmarkStart w:id="418" w:name="_Toc6323"/>
      <w:bookmarkStart w:id="419" w:name="_Toc12541"/>
      <w:bookmarkStart w:id="420" w:name="_Toc490667850"/>
      <w:bookmarkStart w:id="421" w:name="_Toc7626"/>
      <w:bookmarkStart w:id="422" w:name="_Toc18912"/>
      <w:bookmarkStart w:id="423" w:name="_Toc7966"/>
      <w:bookmarkStart w:id="424" w:name="_Toc144974522"/>
      <w:bookmarkStart w:id="425" w:name="_Toc318450697"/>
      <w:bookmarkStart w:id="426" w:name="_Toc455867790"/>
      <w:bookmarkStart w:id="427" w:name="_Toc17697"/>
      <w:r>
        <w:rPr>
          <w:rFonts w:hint="eastAsia" w:ascii="宋体" w:hAnsi="宋体" w:eastAsia="宋体"/>
          <w:b/>
          <w:bCs/>
          <w:color w:val="auto"/>
          <w:sz w:val="21"/>
          <w:szCs w:val="21"/>
          <w:lang w:eastAsia="zh-CN"/>
        </w:rPr>
        <w:t>3.7 响应文件的编制</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2893BD8">
      <w:pPr>
        <w:spacing w:line="360" w:lineRule="auto"/>
        <w:ind w:firstLine="420"/>
        <w:rPr>
          <w:rFonts w:ascii="宋体" w:hAnsi="宋体" w:cs="宋体"/>
          <w:color w:val="auto"/>
          <w:lang w:eastAsia="zh-CN"/>
        </w:rPr>
      </w:pPr>
      <w:bookmarkStart w:id="428" w:name="_Toc152045555"/>
      <w:bookmarkStart w:id="429" w:name="_Toc455080131"/>
      <w:bookmarkStart w:id="430" w:name="_Toc152042331"/>
      <w:bookmarkStart w:id="431" w:name="_Toc144974523"/>
      <w:r>
        <w:rPr>
          <w:rFonts w:hint="eastAsia" w:ascii="宋体" w:hAnsi="宋体" w:cs="宋体"/>
          <w:color w:val="auto"/>
          <w:lang w:eastAsia="zh-CN"/>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501D9CD6">
      <w:pPr>
        <w:spacing w:line="360" w:lineRule="auto"/>
        <w:ind w:firstLine="420"/>
        <w:rPr>
          <w:rFonts w:ascii="宋体" w:hAnsi="宋体" w:cs="宋体"/>
          <w:color w:val="auto"/>
          <w:lang w:eastAsia="zh-CN"/>
        </w:rPr>
      </w:pPr>
      <w:r>
        <w:rPr>
          <w:rFonts w:hint="eastAsia" w:ascii="宋体" w:hAnsi="宋体" w:cs="宋体"/>
          <w:color w:val="auto"/>
          <w:lang w:eastAsia="zh-CN"/>
        </w:rPr>
        <w:t>3.7.2 响应文件应当对竞争性磋商文件有关服务期限、磋商有效期、质量要求、磋商内容作出响应。</w:t>
      </w:r>
    </w:p>
    <w:p w14:paraId="416A9C46">
      <w:pPr>
        <w:spacing w:line="360" w:lineRule="auto"/>
        <w:ind w:firstLine="420"/>
        <w:rPr>
          <w:rFonts w:ascii="宋体" w:hAnsi="宋体" w:cs="宋体"/>
          <w:color w:val="auto"/>
          <w:lang w:eastAsia="zh-CN"/>
        </w:rPr>
      </w:pPr>
      <w:r>
        <w:rPr>
          <w:rFonts w:hint="eastAsia" w:ascii="宋体" w:hAnsi="宋体" w:cs="宋体"/>
          <w:color w:val="auto"/>
          <w:lang w:eastAsia="zh-CN"/>
        </w:rPr>
        <w:t>3.7.3。在投标（响应）文件递交截止时间前，使用CA锁登录后将已固化且加密的电子投标（响应）文件通过网上递交的方式在投标专区自行递交，并确保递交成功(为保证文件正常递交，请响应人错峰上传，详细操作可参阅交易平台办事服务-操作指南-投标阶段) 。</w:t>
      </w:r>
    </w:p>
    <w:p w14:paraId="4ED7F29D">
      <w:pPr>
        <w:spacing w:line="360" w:lineRule="auto"/>
        <w:ind w:firstLine="420"/>
        <w:rPr>
          <w:rFonts w:ascii="宋体" w:hAnsi="宋体" w:cs="宋体"/>
          <w:color w:val="auto"/>
          <w:lang w:eastAsia="zh-CN"/>
        </w:rPr>
      </w:pPr>
      <w:r>
        <w:rPr>
          <w:rFonts w:hint="eastAsia" w:ascii="宋体" w:hAnsi="宋体" w:cs="宋体"/>
          <w:color w:val="auto"/>
          <w:lang w:eastAsia="zh-CN"/>
        </w:rPr>
        <w:t>3.7.4 响应文件份数见供应商须知前附表。</w:t>
      </w:r>
    </w:p>
    <w:p w14:paraId="3DD71976">
      <w:pPr>
        <w:pStyle w:val="6"/>
        <w:outlineLvl w:val="1"/>
        <w:rPr>
          <w:color w:val="auto"/>
          <w:sz w:val="24"/>
          <w:szCs w:val="24"/>
          <w:lang w:eastAsia="zh-CN"/>
        </w:rPr>
      </w:pPr>
      <w:bookmarkStart w:id="432" w:name="_Toc32070"/>
      <w:bookmarkStart w:id="433" w:name="_Toc7739"/>
      <w:bookmarkStart w:id="434" w:name="_Toc19433"/>
      <w:r>
        <w:rPr>
          <w:rFonts w:hint="eastAsia"/>
          <w:color w:val="auto"/>
          <w:sz w:val="24"/>
          <w:szCs w:val="24"/>
          <w:lang w:eastAsia="zh-CN"/>
        </w:rPr>
        <w:t xml:space="preserve">4. </w:t>
      </w:r>
      <w:bookmarkEnd w:id="428"/>
      <w:bookmarkEnd w:id="429"/>
      <w:bookmarkEnd w:id="430"/>
      <w:bookmarkEnd w:id="431"/>
      <w:r>
        <w:rPr>
          <w:rFonts w:hint="eastAsia"/>
          <w:color w:val="auto"/>
          <w:sz w:val="24"/>
          <w:szCs w:val="24"/>
          <w:lang w:eastAsia="zh-CN"/>
        </w:rPr>
        <w:t>磋商</w:t>
      </w:r>
      <w:bookmarkEnd w:id="432"/>
      <w:bookmarkEnd w:id="433"/>
      <w:bookmarkEnd w:id="434"/>
    </w:p>
    <w:p w14:paraId="516772BC">
      <w:pPr>
        <w:pStyle w:val="37"/>
        <w:spacing w:line="360" w:lineRule="auto"/>
        <w:ind w:firstLine="422" w:firstLineChars="0"/>
        <w:outlineLvl w:val="1"/>
        <w:rPr>
          <w:rFonts w:ascii="宋体" w:hAnsi="宋体" w:eastAsia="宋体"/>
          <w:b/>
          <w:bCs/>
          <w:color w:val="auto"/>
          <w:sz w:val="21"/>
          <w:szCs w:val="21"/>
          <w:lang w:eastAsia="zh-CN"/>
        </w:rPr>
      </w:pPr>
      <w:bookmarkStart w:id="435" w:name="_Toc22961"/>
      <w:bookmarkStart w:id="436" w:name="_Toc18820"/>
      <w:bookmarkStart w:id="437" w:name="_Toc31492"/>
      <w:bookmarkStart w:id="438" w:name="_Toc466298115"/>
      <w:bookmarkStart w:id="439" w:name="_Toc152042332"/>
      <w:bookmarkStart w:id="440" w:name="_Toc26583"/>
      <w:bookmarkStart w:id="441" w:name="_Toc16344"/>
      <w:bookmarkStart w:id="442" w:name="_Toc11243"/>
      <w:bookmarkStart w:id="443" w:name="_Toc16962"/>
      <w:bookmarkStart w:id="444" w:name="_Toc152045556"/>
      <w:bookmarkStart w:id="445" w:name="_Toc16783"/>
      <w:bookmarkStart w:id="446" w:name="_Toc455080132"/>
      <w:bookmarkStart w:id="447" w:name="_Toc318450699"/>
      <w:bookmarkStart w:id="448" w:name="_Toc455867792"/>
      <w:bookmarkStart w:id="449" w:name="_Toc490667852"/>
      <w:bookmarkStart w:id="450" w:name="_Toc26550"/>
      <w:bookmarkStart w:id="451" w:name="_Toc144974524"/>
      <w:bookmarkStart w:id="452" w:name="_Toc25280"/>
      <w:bookmarkStart w:id="453" w:name="_Toc26897"/>
      <w:bookmarkStart w:id="454" w:name="_Toc21145"/>
      <w:r>
        <w:rPr>
          <w:rFonts w:hint="eastAsia" w:ascii="宋体" w:hAnsi="宋体" w:eastAsia="宋体"/>
          <w:b/>
          <w:bCs/>
          <w:color w:val="auto"/>
          <w:sz w:val="21"/>
          <w:szCs w:val="21"/>
          <w:lang w:eastAsia="zh-CN"/>
        </w:rPr>
        <w:t>4.1 响应文件的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b/>
          <w:bCs/>
          <w:color w:val="auto"/>
          <w:sz w:val="21"/>
          <w:szCs w:val="21"/>
          <w:lang w:eastAsia="zh-CN"/>
        </w:rPr>
        <w:t>上传</w:t>
      </w:r>
      <w:bookmarkEnd w:id="452"/>
      <w:bookmarkEnd w:id="453"/>
      <w:bookmarkEnd w:id="454"/>
    </w:p>
    <w:p w14:paraId="3BCDD1B9">
      <w:pPr>
        <w:spacing w:line="360" w:lineRule="auto"/>
        <w:ind w:firstLine="420"/>
        <w:rPr>
          <w:rFonts w:ascii="宋体" w:hAnsi="宋体"/>
          <w:color w:val="auto"/>
          <w:lang w:eastAsia="zh-CN"/>
        </w:rPr>
      </w:pPr>
      <w:r>
        <w:rPr>
          <w:rFonts w:hint="eastAsia" w:ascii="宋体" w:hAnsi="宋体" w:cs="宋体"/>
          <w:color w:val="auto"/>
          <w:lang w:eastAsia="zh-CN"/>
        </w:rPr>
        <w:t>4.1.1网上上传的电子响应文件应使用供应商数字证书固化并加密</w:t>
      </w:r>
      <w:r>
        <w:rPr>
          <w:rFonts w:hint="eastAsia" w:ascii="宋体" w:hAnsi="宋体"/>
          <w:color w:val="auto"/>
          <w:lang w:eastAsia="zh-CN"/>
        </w:rPr>
        <w:t>。</w:t>
      </w:r>
    </w:p>
    <w:p w14:paraId="6F2D0728">
      <w:pPr>
        <w:pStyle w:val="37"/>
        <w:spacing w:line="360" w:lineRule="auto"/>
        <w:ind w:firstLine="422" w:firstLineChars="0"/>
        <w:outlineLvl w:val="1"/>
        <w:rPr>
          <w:rFonts w:ascii="宋体" w:hAnsi="宋体" w:eastAsia="宋体"/>
          <w:b/>
          <w:bCs/>
          <w:color w:val="auto"/>
          <w:sz w:val="21"/>
          <w:szCs w:val="21"/>
          <w:lang w:eastAsia="zh-CN"/>
        </w:rPr>
      </w:pPr>
      <w:bookmarkStart w:id="455" w:name="_Toc7663"/>
      <w:bookmarkStart w:id="456" w:name="_Toc4767"/>
      <w:bookmarkStart w:id="457" w:name="_Toc20932"/>
      <w:bookmarkStart w:id="458" w:name="_Toc27132"/>
      <w:bookmarkStart w:id="459" w:name="_Toc21072"/>
      <w:bookmarkStart w:id="460" w:name="_Toc21897"/>
      <w:bookmarkStart w:id="461" w:name="_Toc455867793"/>
      <w:bookmarkStart w:id="462" w:name="_Toc20259"/>
      <w:bookmarkStart w:id="463" w:name="_Toc152045557"/>
      <w:bookmarkStart w:id="464" w:name="_Toc6618"/>
      <w:bookmarkStart w:id="465" w:name="_Toc466298116"/>
      <w:bookmarkStart w:id="466" w:name="_Toc318450700"/>
      <w:bookmarkStart w:id="467" w:name="_Toc490667853"/>
      <w:bookmarkStart w:id="468" w:name="_Toc8754"/>
      <w:bookmarkStart w:id="469" w:name="_Toc462"/>
      <w:bookmarkStart w:id="470" w:name="_Toc28272"/>
      <w:bookmarkStart w:id="471" w:name="_Toc144974525"/>
      <w:bookmarkStart w:id="472" w:name="_Toc455080133"/>
      <w:bookmarkStart w:id="473" w:name="_Toc16832"/>
      <w:bookmarkStart w:id="474" w:name="_Toc152042333"/>
      <w:r>
        <w:rPr>
          <w:rFonts w:hint="eastAsia" w:ascii="宋体" w:hAnsi="宋体" w:eastAsia="宋体"/>
          <w:b/>
          <w:bCs/>
          <w:color w:val="auto"/>
          <w:sz w:val="21"/>
          <w:szCs w:val="21"/>
          <w:lang w:eastAsia="zh-CN"/>
        </w:rPr>
        <w:t>4.2 响应文件的递交</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09D9CEB7">
      <w:pPr>
        <w:spacing w:line="400" w:lineRule="exact"/>
        <w:ind w:firstLine="420"/>
        <w:rPr>
          <w:rFonts w:ascii="宋体" w:hAnsi="宋体" w:cs="宋体"/>
          <w:color w:val="auto"/>
          <w:lang w:eastAsia="zh-CN"/>
        </w:rPr>
      </w:pPr>
      <w:bookmarkStart w:id="475" w:name="_Toc21890"/>
      <w:bookmarkStart w:id="476" w:name="_Toc5102"/>
      <w:bookmarkStart w:id="477" w:name="_Toc19951"/>
      <w:bookmarkStart w:id="478" w:name="_Toc455867794"/>
      <w:bookmarkStart w:id="479" w:name="_Toc11817"/>
      <w:bookmarkStart w:id="480" w:name="_Toc20281"/>
      <w:bookmarkStart w:id="481" w:name="_Toc490667854"/>
      <w:bookmarkStart w:id="482" w:name="_Toc26684"/>
      <w:bookmarkStart w:id="483" w:name="_Toc152045558"/>
      <w:bookmarkStart w:id="484" w:name="_Toc2952"/>
      <w:bookmarkStart w:id="485" w:name="_Toc318450701"/>
      <w:bookmarkStart w:id="486" w:name="_Toc17161"/>
      <w:bookmarkStart w:id="487" w:name="_Toc455080134"/>
      <w:bookmarkStart w:id="488" w:name="_Toc144974526"/>
      <w:bookmarkStart w:id="489" w:name="_Toc30860"/>
      <w:bookmarkStart w:id="490" w:name="_Toc466298117"/>
      <w:bookmarkStart w:id="491" w:name="_Toc152042334"/>
      <w:r>
        <w:rPr>
          <w:rFonts w:hint="eastAsia" w:ascii="宋体" w:hAnsi="宋体" w:cs="宋体"/>
          <w:color w:val="auto"/>
          <w:lang w:eastAsia="zh-CN"/>
        </w:rPr>
        <w:t>4.2.1电子响应文件的递交</w:t>
      </w:r>
    </w:p>
    <w:p w14:paraId="087F4D12">
      <w:pPr>
        <w:spacing w:line="400" w:lineRule="exact"/>
        <w:ind w:firstLine="420"/>
        <w:rPr>
          <w:rFonts w:ascii="宋体" w:hAnsi="宋体" w:cs="宋体"/>
          <w:color w:val="auto"/>
          <w:lang w:eastAsia="zh-CN"/>
        </w:rPr>
      </w:pPr>
      <w:r>
        <w:rPr>
          <w:rFonts w:hint="eastAsia" w:ascii="宋体" w:hAnsi="宋体" w:cs="宋体"/>
          <w:color w:val="auto"/>
          <w:lang w:eastAsia="zh-CN"/>
        </w:rPr>
        <w:t>在投标（响应）文件递交截止时间前，使用CA锁登录后将已固化且加密的电子投标（响应）文件通过网上递交的方式在投标专区自行递交。请供应商在上传前务必认真检查上传响应文件是否完整、正确。</w:t>
      </w:r>
    </w:p>
    <w:p w14:paraId="5B5ED9AA">
      <w:pPr>
        <w:pStyle w:val="37"/>
        <w:spacing w:line="360" w:lineRule="auto"/>
        <w:ind w:firstLine="422" w:firstLineChars="0"/>
        <w:outlineLvl w:val="1"/>
        <w:rPr>
          <w:rFonts w:ascii="宋体" w:hAnsi="宋体" w:eastAsia="宋体"/>
          <w:b/>
          <w:bCs/>
          <w:color w:val="auto"/>
          <w:sz w:val="21"/>
          <w:szCs w:val="21"/>
          <w:lang w:eastAsia="zh-CN"/>
        </w:rPr>
      </w:pPr>
      <w:bookmarkStart w:id="492" w:name="_Toc11247"/>
      <w:bookmarkStart w:id="493" w:name="_Toc29295"/>
      <w:bookmarkStart w:id="494" w:name="_Toc1790"/>
      <w:r>
        <w:rPr>
          <w:rFonts w:hint="eastAsia" w:ascii="宋体" w:hAnsi="宋体" w:eastAsia="宋体"/>
          <w:b/>
          <w:bCs/>
          <w:color w:val="auto"/>
          <w:sz w:val="21"/>
          <w:szCs w:val="21"/>
          <w:lang w:eastAsia="zh-CN"/>
        </w:rPr>
        <w:t>4.3 响应文件的修改与撤回</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53680CF8">
      <w:pPr>
        <w:spacing w:line="400" w:lineRule="exact"/>
        <w:ind w:firstLine="420"/>
        <w:rPr>
          <w:rFonts w:ascii="宋体" w:hAnsi="宋体" w:cs="宋体"/>
          <w:color w:val="auto"/>
          <w:lang w:eastAsia="zh-CN"/>
        </w:rPr>
      </w:pPr>
      <w:bookmarkStart w:id="495" w:name="_Toc152042335"/>
      <w:bookmarkStart w:id="496" w:name="_Toc144974527"/>
      <w:bookmarkStart w:id="497" w:name="_Toc152045559"/>
      <w:bookmarkStart w:id="498" w:name="_Toc455080135"/>
      <w:r>
        <w:rPr>
          <w:rFonts w:hint="eastAsia" w:ascii="宋体" w:hAnsi="宋体" w:cs="宋体"/>
          <w:color w:val="auto"/>
          <w:lang w:eastAsia="zh-CN"/>
        </w:rPr>
        <w:t>4.3.1 在第一章“竞争性磋商公告”规定的响应文件提交截止时间前，供应商可以多次修改或撤回已递交的响应文件，最终响应文件以响应文件提交截止时间前完成上传至商丘市公共资源交易中心交易系统最后一份响应文件为准。</w:t>
      </w:r>
    </w:p>
    <w:p w14:paraId="4BB6F180">
      <w:pPr>
        <w:spacing w:line="400" w:lineRule="exact"/>
        <w:ind w:firstLine="420"/>
        <w:rPr>
          <w:rFonts w:ascii="宋体" w:hAnsi="宋体" w:cs="宋体"/>
          <w:color w:val="auto"/>
          <w:lang w:eastAsia="zh-CN"/>
        </w:rPr>
      </w:pPr>
      <w:r>
        <w:rPr>
          <w:rFonts w:hint="eastAsia" w:ascii="宋体" w:hAnsi="宋体" w:cs="宋体"/>
          <w:color w:val="auto"/>
          <w:lang w:eastAsia="zh-CN"/>
        </w:rPr>
        <w:t>4.3.2修改的响应文件应按照本章第3.7条、第4.2条规定进行编制和递交。</w:t>
      </w:r>
    </w:p>
    <w:bookmarkEnd w:id="495"/>
    <w:bookmarkEnd w:id="496"/>
    <w:bookmarkEnd w:id="497"/>
    <w:p w14:paraId="127BCA61">
      <w:pPr>
        <w:pStyle w:val="6"/>
        <w:outlineLvl w:val="1"/>
        <w:rPr>
          <w:color w:val="auto"/>
          <w:sz w:val="24"/>
          <w:szCs w:val="24"/>
          <w:lang w:eastAsia="zh-CN"/>
        </w:rPr>
      </w:pPr>
      <w:bookmarkStart w:id="499" w:name="_Toc20724"/>
      <w:bookmarkStart w:id="500" w:name="_Toc15462"/>
      <w:bookmarkStart w:id="501" w:name="_Toc14969"/>
      <w:r>
        <w:rPr>
          <w:rFonts w:hint="eastAsia"/>
          <w:color w:val="auto"/>
          <w:sz w:val="24"/>
          <w:szCs w:val="24"/>
          <w:lang w:eastAsia="zh-CN"/>
        </w:rPr>
        <w:t>5.磋商开始</w:t>
      </w:r>
      <w:bookmarkEnd w:id="498"/>
      <w:bookmarkEnd w:id="499"/>
      <w:bookmarkEnd w:id="500"/>
      <w:bookmarkEnd w:id="501"/>
      <w:bookmarkStart w:id="502" w:name="_Toc318450703"/>
      <w:bookmarkStart w:id="503" w:name="_Toc25809"/>
      <w:bookmarkStart w:id="504" w:name="_Toc144974528"/>
      <w:bookmarkStart w:id="505" w:name="_Toc490667856"/>
      <w:bookmarkStart w:id="506" w:name="_Toc26426"/>
      <w:bookmarkStart w:id="507" w:name="_Toc152045560"/>
      <w:bookmarkStart w:id="508" w:name="_Toc152042336"/>
      <w:bookmarkStart w:id="509" w:name="_Toc20660"/>
      <w:bookmarkStart w:id="510" w:name="_Toc9969"/>
      <w:bookmarkStart w:id="511" w:name="_Toc466298119"/>
      <w:bookmarkStart w:id="512" w:name="_Toc25533"/>
      <w:bookmarkStart w:id="513" w:name="_Toc20333"/>
      <w:bookmarkStart w:id="514" w:name="_Toc455867796"/>
      <w:bookmarkStart w:id="515" w:name="_Toc14"/>
      <w:bookmarkStart w:id="516" w:name="_Toc6763"/>
      <w:bookmarkStart w:id="517" w:name="_Toc16040"/>
      <w:bookmarkStart w:id="518" w:name="_Toc455080136"/>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14:paraId="16E85EC3">
      <w:pPr>
        <w:spacing w:line="440" w:lineRule="exact"/>
        <w:ind w:firstLine="422" w:firstLineChars="0"/>
        <w:outlineLvl w:val="1"/>
        <w:rPr>
          <w:rFonts w:ascii="宋体" w:hAnsi="宋体"/>
          <w:b/>
          <w:bCs/>
          <w:color w:val="auto"/>
          <w:lang w:eastAsia="zh-CN"/>
        </w:rPr>
      </w:pPr>
      <w:bookmarkStart w:id="519" w:name="_Toc25911"/>
      <w:bookmarkStart w:id="520" w:name="_Toc17491"/>
      <w:bookmarkStart w:id="521" w:name="_Toc9328"/>
      <w:bookmarkStart w:id="522" w:name="_Toc318450704"/>
      <w:bookmarkStart w:id="523" w:name="_Toc3865"/>
      <w:bookmarkStart w:id="524" w:name="_Toc747"/>
      <w:bookmarkStart w:id="525" w:name="_Toc30965"/>
      <w:bookmarkStart w:id="526" w:name="_Toc30074"/>
      <w:bookmarkStart w:id="527" w:name="_Toc18582"/>
      <w:bookmarkStart w:id="528" w:name="_Toc490667857"/>
      <w:bookmarkStart w:id="529" w:name="_Toc144974529"/>
      <w:bookmarkStart w:id="530" w:name="_Toc152045561"/>
      <w:bookmarkStart w:id="531" w:name="_Toc455867797"/>
      <w:bookmarkStart w:id="532" w:name="_Toc152042337"/>
      <w:bookmarkStart w:id="533" w:name="_Toc11148"/>
      <w:bookmarkStart w:id="534" w:name="_Toc466298120"/>
      <w:bookmarkStart w:id="535" w:name="_Toc455080137"/>
      <w:bookmarkStart w:id="536" w:name="_Toc30792"/>
      <w:r>
        <w:rPr>
          <w:rFonts w:hint="eastAsia" w:ascii="宋体" w:hAnsi="宋体"/>
          <w:b/>
          <w:bCs/>
          <w:color w:val="auto"/>
          <w:lang w:eastAsia="zh-CN"/>
        </w:rPr>
        <w:t>5.1 磋商时间和地点</w:t>
      </w:r>
    </w:p>
    <w:p w14:paraId="2458ADFA">
      <w:pPr>
        <w:spacing w:line="440" w:lineRule="exact"/>
        <w:ind w:firstLine="420"/>
        <w:rPr>
          <w:rFonts w:ascii="宋体" w:hAnsi="宋体"/>
          <w:color w:val="auto"/>
          <w:lang w:eastAsia="zh-CN"/>
        </w:rPr>
      </w:pPr>
      <w:r>
        <w:rPr>
          <w:rFonts w:hint="eastAsia" w:ascii="宋体" w:hAnsi="宋体"/>
          <w:color w:val="auto"/>
          <w:lang w:eastAsia="zh-CN"/>
        </w:rPr>
        <w:t>5.1.1 采购人在本章规定的投标截止时间（开标时间）和供应商须知前附表规定的地点开标。</w:t>
      </w:r>
    </w:p>
    <w:p w14:paraId="41D67CE1">
      <w:pPr>
        <w:pStyle w:val="37"/>
        <w:spacing w:line="360" w:lineRule="auto"/>
        <w:ind w:firstLine="422" w:firstLineChars="0"/>
        <w:outlineLvl w:val="1"/>
        <w:rPr>
          <w:rFonts w:ascii="宋体" w:hAnsi="宋体" w:eastAsia="宋体"/>
          <w:b/>
          <w:bCs/>
          <w:color w:val="auto"/>
          <w:sz w:val="21"/>
          <w:szCs w:val="21"/>
          <w:lang w:eastAsia="zh-CN"/>
        </w:rPr>
      </w:pPr>
      <w:bookmarkStart w:id="537" w:name="_Toc23126"/>
      <w:bookmarkStart w:id="538" w:name="_Toc3010"/>
      <w:r>
        <w:rPr>
          <w:rFonts w:hint="eastAsia" w:ascii="宋体" w:hAnsi="宋体" w:eastAsia="宋体"/>
          <w:b/>
          <w:bCs/>
          <w:color w:val="auto"/>
          <w:sz w:val="21"/>
          <w:szCs w:val="21"/>
          <w:lang w:eastAsia="zh-CN"/>
        </w:rPr>
        <w:t>5.2 磋商程序</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6F131C9">
      <w:pPr>
        <w:pStyle w:val="37"/>
        <w:spacing w:line="360" w:lineRule="auto"/>
        <w:ind w:firstLine="420" w:firstLineChars="0"/>
        <w:outlineLvl w:val="9"/>
        <w:rPr>
          <w:rFonts w:ascii="宋体" w:hAnsi="宋体" w:eastAsia="宋体"/>
          <w:color w:val="auto"/>
          <w:sz w:val="21"/>
          <w:szCs w:val="21"/>
          <w:lang w:eastAsia="zh-CN"/>
        </w:rPr>
      </w:pPr>
      <w:bookmarkStart w:id="539" w:name="_Toc16330"/>
      <w:bookmarkStart w:id="540" w:name="_Toc30403"/>
      <w:bookmarkStart w:id="541" w:name="_Toc20594"/>
      <w:r>
        <w:rPr>
          <w:rFonts w:hint="eastAsia" w:ascii="宋体" w:hAnsi="宋体" w:eastAsia="宋体"/>
          <w:color w:val="auto"/>
          <w:sz w:val="21"/>
          <w:szCs w:val="21"/>
          <w:lang w:eastAsia="zh-CN"/>
        </w:rPr>
        <w:t>5.2.1磋商小组对竞争性磋商文件进行熟悉确认。</w:t>
      </w:r>
      <w:bookmarkEnd w:id="539"/>
      <w:bookmarkEnd w:id="540"/>
      <w:bookmarkEnd w:id="541"/>
      <w:bookmarkStart w:id="542" w:name="_Toc144974530"/>
      <w:bookmarkStart w:id="543" w:name="_Toc152045562"/>
      <w:bookmarkStart w:id="544" w:name="_Toc152042338"/>
    </w:p>
    <w:p w14:paraId="57075836">
      <w:pPr>
        <w:pStyle w:val="37"/>
        <w:spacing w:line="360" w:lineRule="auto"/>
        <w:ind w:firstLine="420" w:firstLineChars="0"/>
        <w:outlineLvl w:val="9"/>
        <w:rPr>
          <w:rFonts w:ascii="宋体" w:hAnsi="宋体" w:eastAsia="宋体"/>
          <w:color w:val="auto"/>
          <w:sz w:val="21"/>
          <w:szCs w:val="21"/>
          <w:lang w:eastAsia="zh-CN"/>
        </w:rPr>
      </w:pPr>
      <w:bookmarkStart w:id="545" w:name="_Toc16978"/>
      <w:bookmarkStart w:id="546" w:name="_Toc2822"/>
      <w:r>
        <w:rPr>
          <w:rFonts w:hint="eastAsia" w:ascii="宋体" w:hAnsi="宋体" w:eastAsia="宋体"/>
          <w:color w:val="auto"/>
          <w:sz w:val="21"/>
          <w:szCs w:val="21"/>
          <w:lang w:eastAsia="zh-CN"/>
        </w:rPr>
        <w:t>5.2.2磋商小组推选组长，讨论、通过磋商工作流程和磋商要点。</w:t>
      </w:r>
      <w:bookmarkEnd w:id="545"/>
      <w:bookmarkEnd w:id="546"/>
    </w:p>
    <w:p w14:paraId="1B0E4710">
      <w:pPr>
        <w:spacing w:line="360" w:lineRule="auto"/>
        <w:ind w:firstLine="420"/>
        <w:rPr>
          <w:rFonts w:ascii="宋体" w:hAnsi="宋体" w:cs="宋体"/>
          <w:color w:val="auto"/>
          <w:lang w:eastAsia="zh-CN"/>
        </w:rPr>
      </w:pPr>
      <w:r>
        <w:rPr>
          <w:rFonts w:hint="eastAsia" w:ascii="宋体" w:hAnsi="宋体" w:cs="宋体"/>
          <w:color w:val="auto"/>
          <w:lang w:eastAsia="zh-CN"/>
        </w:rPr>
        <w:t>5.2.3资格评审审查：采购人依据竞争性磋商文件规定，对供应商进行审查，以确定磋商供应商是否具备参与磋商的资格。</w:t>
      </w:r>
    </w:p>
    <w:p w14:paraId="18D0DE1E">
      <w:pPr>
        <w:spacing w:line="360" w:lineRule="auto"/>
        <w:ind w:firstLine="420"/>
        <w:rPr>
          <w:rFonts w:ascii="宋体" w:hAnsi="宋体" w:cs="宋体"/>
          <w:color w:val="auto"/>
          <w:lang w:eastAsia="zh-CN"/>
        </w:rPr>
      </w:pPr>
      <w:r>
        <w:rPr>
          <w:rFonts w:hint="eastAsia" w:ascii="宋体" w:hAnsi="宋体" w:cs="宋体"/>
          <w:color w:val="auto"/>
          <w:lang w:eastAsia="zh-CN"/>
        </w:rPr>
        <w:t>5.2.4符合性评审审查：磋商开始后，磋商小组依据竞争性磋商文件规定，对通过资格评审的供应商进行审查，以确定磋商供应商是否具备参与磋商的资格。</w:t>
      </w:r>
    </w:p>
    <w:p w14:paraId="5C5E961E">
      <w:pPr>
        <w:spacing w:line="360" w:lineRule="auto"/>
        <w:ind w:firstLine="472" w:firstLineChars="225"/>
        <w:rPr>
          <w:rFonts w:ascii="宋体" w:hAnsi="宋体" w:cs="宋体"/>
          <w:color w:val="auto"/>
          <w:lang w:eastAsia="zh-CN"/>
        </w:rPr>
      </w:pPr>
      <w:r>
        <w:rPr>
          <w:rFonts w:hint="eastAsia" w:ascii="宋体" w:hAnsi="宋体" w:cs="宋体"/>
          <w:color w:val="auto"/>
          <w:lang w:eastAsia="zh-CN"/>
        </w:rPr>
        <w:t>5.2.5磋商小组对通过资格性和符合性审查的响应文件进行评估，确定与各竞标人磋商的具体内容。</w:t>
      </w:r>
    </w:p>
    <w:p w14:paraId="67CEC786">
      <w:pPr>
        <w:spacing w:line="360" w:lineRule="auto"/>
        <w:ind w:firstLine="472" w:firstLineChars="225"/>
        <w:rPr>
          <w:rFonts w:ascii="宋体" w:hAnsi="宋体" w:cs="宋体"/>
          <w:color w:val="auto"/>
          <w:lang w:eastAsia="zh-CN"/>
        </w:rPr>
      </w:pPr>
      <w:r>
        <w:rPr>
          <w:rFonts w:hint="eastAsia" w:ascii="宋体" w:hAnsi="宋体" w:cs="宋体"/>
          <w:color w:val="auto"/>
          <w:lang w:eastAsia="zh-CN"/>
        </w:rPr>
        <w:t>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2B20A25B">
      <w:pPr>
        <w:spacing w:line="360" w:lineRule="auto"/>
        <w:ind w:firstLine="420"/>
        <w:rPr>
          <w:rFonts w:ascii="宋体" w:hAnsi="宋体" w:cs="宋体"/>
          <w:color w:val="auto"/>
          <w:lang w:eastAsia="zh-CN"/>
        </w:rPr>
      </w:pPr>
      <w:r>
        <w:rPr>
          <w:rFonts w:hint="eastAsia" w:ascii="宋体" w:hAnsi="宋体" w:cs="宋体"/>
          <w:color w:val="auto"/>
          <w:lang w:eastAsia="zh-CN"/>
        </w:rPr>
        <w:t>5.2.7磋商小组对符合招标需求的供应商进入下一轮报价；供应商只有通过资格评审及符合性评审后方可进入下一轮报价，在规定的时间内同时提交报价，最终报价不得超过响应文件中报价。</w:t>
      </w:r>
    </w:p>
    <w:p w14:paraId="12C4127E">
      <w:pPr>
        <w:spacing w:line="360" w:lineRule="auto"/>
        <w:ind w:firstLine="420"/>
        <w:rPr>
          <w:rFonts w:ascii="宋体" w:hAnsi="宋体" w:cs="宋体"/>
          <w:color w:val="auto"/>
          <w:lang w:eastAsia="zh-CN"/>
        </w:rPr>
      </w:pPr>
      <w:r>
        <w:rPr>
          <w:rFonts w:hint="eastAsia" w:ascii="宋体" w:hAnsi="宋体" w:cs="宋体"/>
          <w:color w:val="auto"/>
          <w:lang w:eastAsia="zh-CN"/>
        </w:rPr>
        <w:t>5.2.8竞争性磋商采用远程不见面方式，磋商内容主要为二次报价。</w:t>
      </w:r>
    </w:p>
    <w:p w14:paraId="1264A6B3">
      <w:pPr>
        <w:spacing w:line="360" w:lineRule="auto"/>
        <w:ind w:firstLine="420"/>
        <w:rPr>
          <w:rFonts w:ascii="宋体" w:hAnsi="宋体" w:cs="宋体"/>
          <w:color w:val="auto"/>
          <w:lang w:eastAsia="zh-CN"/>
        </w:rPr>
      </w:pPr>
      <w:r>
        <w:rPr>
          <w:rFonts w:hint="eastAsia" w:ascii="宋体" w:hAnsi="宋体" w:cs="宋体"/>
          <w:color w:val="auto"/>
          <w:lang w:eastAsia="zh-CN"/>
        </w:rPr>
        <w:t>5.2.9竞争性磋商结束后，竞争性磋商小组应当要求所有参加竞争性磋商的供应商在规定的时间内进行最后报价，响应性文件中报价为第二轮次报价为准。二次报价不得高于首次报价（除磋商文件有实质性变动外），否则将被视为未实质性响应磋商文件。</w:t>
      </w:r>
    </w:p>
    <w:p w14:paraId="032B1A8C">
      <w:pPr>
        <w:pStyle w:val="8"/>
        <w:spacing w:line="520" w:lineRule="exact"/>
        <w:ind w:firstLine="422" w:firstLineChars="0"/>
        <w:outlineLvl w:val="9"/>
        <w:rPr>
          <w:rFonts w:ascii="宋体" w:hAnsi="宋体" w:cs="宋体"/>
          <w:color w:val="auto"/>
          <w:sz w:val="21"/>
          <w:szCs w:val="21"/>
          <w:lang w:eastAsia="zh-CN"/>
        </w:rPr>
      </w:pPr>
      <w:r>
        <w:rPr>
          <w:rFonts w:hint="eastAsia" w:ascii="宋体" w:hAnsi="宋体" w:cs="宋体"/>
          <w:color w:val="auto"/>
          <w:sz w:val="21"/>
          <w:szCs w:val="21"/>
          <w:lang w:eastAsia="zh-CN"/>
        </w:rPr>
        <w:t>本项目在开标后进行第二轮报价（二次报价），即最后报价</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磋商小组发起最后报价后，如供应商未在指定时限内提交最后报价，视为该供应商放弃最后报价机会。</w:t>
      </w:r>
    </w:p>
    <w:p w14:paraId="5B3B11EE">
      <w:pPr>
        <w:ind w:firstLine="420"/>
        <w:rPr>
          <w:color w:val="auto"/>
          <w:lang w:eastAsia="zh-CN"/>
        </w:rPr>
      </w:pPr>
      <w:r>
        <w:rPr>
          <w:rFonts w:hint="eastAsia" w:ascii="宋体" w:hAnsi="宋体" w:cs="宋体"/>
          <w:color w:val="auto"/>
          <w:lang w:eastAsia="zh-CN"/>
        </w:rPr>
        <w:t>5.2.9经磋商确定最终招标需求，由磋商小组采用综合评分法对通过初步评审的供应商的响应文件进行综合评分。</w:t>
      </w:r>
    </w:p>
    <w:p w14:paraId="1BBB1509">
      <w:pPr>
        <w:pStyle w:val="6"/>
        <w:outlineLvl w:val="1"/>
        <w:rPr>
          <w:color w:val="auto"/>
          <w:sz w:val="24"/>
          <w:szCs w:val="24"/>
          <w:lang w:eastAsia="zh-CN"/>
        </w:rPr>
      </w:pPr>
      <w:bookmarkStart w:id="547" w:name="_Toc455080138"/>
      <w:bookmarkStart w:id="548" w:name="_Toc4097"/>
      <w:bookmarkStart w:id="549" w:name="_Toc18831"/>
      <w:bookmarkStart w:id="550" w:name="_Toc14039"/>
      <w:r>
        <w:rPr>
          <w:rFonts w:hint="eastAsia"/>
          <w:color w:val="auto"/>
          <w:sz w:val="24"/>
          <w:szCs w:val="24"/>
          <w:lang w:eastAsia="zh-CN"/>
        </w:rPr>
        <w:t xml:space="preserve">6. </w:t>
      </w:r>
      <w:bookmarkEnd w:id="542"/>
      <w:bookmarkEnd w:id="543"/>
      <w:bookmarkEnd w:id="544"/>
      <w:r>
        <w:rPr>
          <w:rFonts w:hint="eastAsia"/>
          <w:color w:val="auto"/>
          <w:sz w:val="24"/>
          <w:szCs w:val="24"/>
          <w:lang w:eastAsia="zh-CN"/>
        </w:rPr>
        <w:t>磋商</w:t>
      </w:r>
      <w:bookmarkEnd w:id="547"/>
      <w:r>
        <w:rPr>
          <w:rFonts w:hint="eastAsia"/>
          <w:color w:val="auto"/>
          <w:sz w:val="24"/>
          <w:szCs w:val="24"/>
          <w:lang w:eastAsia="zh-CN"/>
        </w:rPr>
        <w:t>小组</w:t>
      </w:r>
      <w:bookmarkEnd w:id="548"/>
      <w:bookmarkEnd w:id="549"/>
      <w:bookmarkEnd w:id="550"/>
    </w:p>
    <w:p w14:paraId="6CA66B00">
      <w:pPr>
        <w:pStyle w:val="37"/>
        <w:spacing w:line="360" w:lineRule="auto"/>
        <w:ind w:firstLine="422" w:firstLineChars="0"/>
        <w:outlineLvl w:val="1"/>
        <w:rPr>
          <w:rFonts w:ascii="宋体" w:hAnsi="宋体" w:eastAsia="宋体"/>
          <w:b/>
          <w:bCs/>
          <w:color w:val="auto"/>
          <w:sz w:val="21"/>
          <w:szCs w:val="21"/>
          <w:lang w:eastAsia="zh-CN"/>
        </w:rPr>
      </w:pPr>
      <w:bookmarkStart w:id="551" w:name="_Toc26098"/>
      <w:bookmarkStart w:id="552" w:name="_Toc22250"/>
      <w:bookmarkStart w:id="553" w:name="_Toc144974531"/>
      <w:bookmarkStart w:id="554" w:name="_Toc152042339"/>
      <w:bookmarkStart w:id="555" w:name="_Toc152045563"/>
      <w:bookmarkStart w:id="556" w:name="_Toc9808"/>
      <w:bookmarkStart w:id="557" w:name="_Toc318450706"/>
      <w:bookmarkStart w:id="558" w:name="_Toc13978"/>
      <w:bookmarkStart w:id="559" w:name="_Toc1574"/>
      <w:bookmarkStart w:id="560" w:name="_Toc23138"/>
      <w:bookmarkStart w:id="561" w:name="_Toc455080139"/>
      <w:bookmarkStart w:id="562" w:name="_Toc8725"/>
      <w:bookmarkStart w:id="563" w:name="_Toc7500"/>
      <w:bookmarkStart w:id="564" w:name="_Toc490667859"/>
      <w:bookmarkStart w:id="565" w:name="_Toc1546"/>
      <w:bookmarkStart w:id="566" w:name="_Toc466298122"/>
      <w:bookmarkStart w:id="567" w:name="_Toc27289"/>
      <w:bookmarkStart w:id="568" w:name="_Toc18985"/>
      <w:bookmarkStart w:id="569" w:name="_Toc455867799"/>
      <w:bookmarkStart w:id="570" w:name="_Toc8157"/>
      <w:r>
        <w:rPr>
          <w:rFonts w:hint="eastAsia" w:ascii="宋体" w:hAnsi="宋体" w:eastAsia="宋体"/>
          <w:b/>
          <w:bCs/>
          <w:color w:val="auto"/>
          <w:sz w:val="21"/>
          <w:szCs w:val="21"/>
          <w:lang w:eastAsia="zh-CN"/>
        </w:rPr>
        <w:t>6.1</w:t>
      </w:r>
      <w:bookmarkEnd w:id="551"/>
      <w:bookmarkEnd w:id="552"/>
      <w:bookmarkEnd w:id="553"/>
      <w:bookmarkEnd w:id="554"/>
      <w:bookmarkEnd w:id="555"/>
      <w:bookmarkEnd w:id="556"/>
      <w:bookmarkEnd w:id="557"/>
      <w:r>
        <w:rPr>
          <w:rFonts w:hint="eastAsia" w:ascii="宋体" w:hAnsi="宋体" w:eastAsia="宋体"/>
          <w:b/>
          <w:bCs/>
          <w:color w:val="auto"/>
          <w:sz w:val="21"/>
          <w:szCs w:val="21"/>
          <w:lang w:eastAsia="zh-CN"/>
        </w:rPr>
        <w:t>磋商小组</w:t>
      </w:r>
      <w:bookmarkEnd w:id="558"/>
      <w:bookmarkEnd w:id="559"/>
      <w:bookmarkEnd w:id="560"/>
      <w:bookmarkEnd w:id="561"/>
      <w:bookmarkEnd w:id="562"/>
      <w:bookmarkEnd w:id="563"/>
      <w:bookmarkEnd w:id="564"/>
      <w:bookmarkEnd w:id="565"/>
      <w:bookmarkEnd w:id="566"/>
      <w:bookmarkEnd w:id="567"/>
      <w:bookmarkEnd w:id="568"/>
      <w:bookmarkEnd w:id="569"/>
      <w:bookmarkEnd w:id="570"/>
    </w:p>
    <w:p w14:paraId="66A4E572">
      <w:pPr>
        <w:spacing w:line="360" w:lineRule="auto"/>
        <w:ind w:firstLine="420"/>
        <w:rPr>
          <w:rFonts w:ascii="宋体" w:hAnsi="宋体" w:cs="宋体"/>
          <w:color w:val="auto"/>
          <w:lang w:eastAsia="zh-CN"/>
        </w:rPr>
      </w:pPr>
      <w:r>
        <w:rPr>
          <w:rFonts w:hint="eastAsia" w:ascii="宋体" w:hAnsi="宋体" w:cs="宋体"/>
          <w:color w:val="auto"/>
          <w:lang w:eastAsia="zh-CN"/>
        </w:rPr>
        <w:t>磋商由采购人依法组建的磋商小组负责。磋商小组由采购人代表以及有关技术、经济等方面的专家组成。磋商小组成员人数以及技术、经济等方面专家的确定方式见供应商须知前附表。</w:t>
      </w:r>
    </w:p>
    <w:p w14:paraId="1FD1B8D8">
      <w:pPr>
        <w:pStyle w:val="37"/>
        <w:tabs>
          <w:tab w:val="left" w:pos="2620"/>
        </w:tabs>
        <w:spacing w:line="360" w:lineRule="auto"/>
        <w:ind w:firstLine="422" w:firstLineChars="0"/>
        <w:outlineLvl w:val="1"/>
        <w:rPr>
          <w:rFonts w:ascii="宋体" w:hAnsi="宋体" w:eastAsia="宋体"/>
          <w:b/>
          <w:bCs/>
          <w:color w:val="auto"/>
          <w:sz w:val="21"/>
          <w:szCs w:val="21"/>
          <w:lang w:eastAsia="zh-CN"/>
        </w:rPr>
      </w:pPr>
      <w:bookmarkStart w:id="571" w:name="_Toc28625"/>
      <w:bookmarkStart w:id="572" w:name="_Toc466298123"/>
      <w:bookmarkStart w:id="573" w:name="_Toc25721"/>
      <w:bookmarkStart w:id="574" w:name="_Toc455867800"/>
      <w:bookmarkStart w:id="575" w:name="_Toc318450707"/>
      <w:bookmarkStart w:id="576" w:name="_Toc21102"/>
      <w:bookmarkStart w:id="577" w:name="_Toc22143"/>
      <w:bookmarkStart w:id="578" w:name="_Toc15161"/>
      <w:bookmarkStart w:id="579" w:name="_Toc9532"/>
      <w:bookmarkStart w:id="580" w:name="_Toc7286"/>
      <w:bookmarkStart w:id="581" w:name="_Toc144974532"/>
      <w:bookmarkStart w:id="582" w:name="_Toc4435"/>
      <w:bookmarkStart w:id="583" w:name="_Toc8240"/>
      <w:bookmarkStart w:id="584" w:name="_Toc455080140"/>
      <w:bookmarkStart w:id="585" w:name="_Toc13368"/>
      <w:bookmarkStart w:id="586" w:name="_Toc8248"/>
      <w:bookmarkStart w:id="587" w:name="_Toc152042340"/>
      <w:bookmarkStart w:id="588" w:name="_Toc490667860"/>
      <w:bookmarkStart w:id="589" w:name="_Toc27035"/>
      <w:bookmarkStart w:id="590" w:name="_Toc152045564"/>
      <w:r>
        <w:rPr>
          <w:rFonts w:hint="eastAsia" w:ascii="宋体" w:hAnsi="宋体" w:eastAsia="宋体"/>
          <w:b/>
          <w:bCs/>
          <w:color w:val="auto"/>
          <w:sz w:val="21"/>
          <w:szCs w:val="21"/>
          <w:lang w:eastAsia="zh-CN"/>
        </w:rPr>
        <w:t>6.2 磋商原则</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7419DA0D">
      <w:pPr>
        <w:spacing w:line="360" w:lineRule="auto"/>
        <w:ind w:firstLine="420"/>
        <w:rPr>
          <w:rFonts w:ascii="宋体" w:hAnsi="宋体" w:cs="宋体"/>
          <w:color w:val="auto"/>
          <w:lang w:eastAsia="zh-CN"/>
        </w:rPr>
      </w:pPr>
      <w:r>
        <w:rPr>
          <w:rFonts w:hint="eastAsia" w:ascii="宋体" w:hAnsi="宋体" w:cs="宋体"/>
          <w:color w:val="auto"/>
          <w:lang w:eastAsia="zh-CN"/>
        </w:rPr>
        <w:t>磋商活动遵循公平、公正、科学和择优的原则。</w:t>
      </w:r>
    </w:p>
    <w:p w14:paraId="3C6D7A64">
      <w:pPr>
        <w:pStyle w:val="37"/>
        <w:spacing w:line="360" w:lineRule="auto"/>
        <w:ind w:firstLine="422" w:firstLineChars="0"/>
        <w:outlineLvl w:val="1"/>
        <w:rPr>
          <w:rFonts w:ascii="宋体" w:hAnsi="宋体" w:eastAsia="宋体"/>
          <w:color w:val="auto"/>
          <w:sz w:val="21"/>
          <w:szCs w:val="21"/>
          <w:lang w:eastAsia="zh-CN"/>
        </w:rPr>
      </w:pPr>
      <w:bookmarkStart w:id="591" w:name="_Toc152045565"/>
      <w:bookmarkStart w:id="592" w:name="_Toc318450708"/>
      <w:bookmarkStart w:id="593" w:name="_Toc15595"/>
      <w:bookmarkStart w:id="594" w:name="_Toc144974533"/>
      <w:bookmarkStart w:id="595" w:name="_Toc152042341"/>
      <w:bookmarkStart w:id="596" w:name="_Toc16725"/>
      <w:bookmarkStart w:id="597" w:name="_Toc8705"/>
      <w:bookmarkStart w:id="598" w:name="_Toc466298124"/>
      <w:bookmarkStart w:id="599" w:name="_Toc24358"/>
      <w:bookmarkStart w:id="600" w:name="_Toc4373"/>
      <w:bookmarkStart w:id="601" w:name="_Toc455080141"/>
      <w:bookmarkStart w:id="602" w:name="_Toc3606"/>
      <w:bookmarkStart w:id="603" w:name="_Toc20062"/>
      <w:bookmarkStart w:id="604" w:name="_Toc28734"/>
      <w:bookmarkStart w:id="605" w:name="_Toc18756"/>
      <w:bookmarkStart w:id="606" w:name="_Toc490667861"/>
      <w:bookmarkStart w:id="607" w:name="_Toc7890"/>
      <w:bookmarkStart w:id="608" w:name="_Toc12481"/>
      <w:bookmarkStart w:id="609" w:name="_Toc27036"/>
      <w:bookmarkStart w:id="610" w:name="_Toc455867801"/>
      <w:r>
        <w:rPr>
          <w:rFonts w:hint="eastAsia" w:ascii="宋体" w:hAnsi="宋体" w:eastAsia="宋体"/>
          <w:b/>
          <w:bCs/>
          <w:color w:val="auto"/>
          <w:sz w:val="21"/>
          <w:szCs w:val="21"/>
          <w:lang w:eastAsia="zh-CN"/>
        </w:rPr>
        <w:t xml:space="preserve">6.3 </w:t>
      </w:r>
      <w:bookmarkEnd w:id="591"/>
      <w:bookmarkEnd w:id="592"/>
      <w:bookmarkEnd w:id="593"/>
      <w:bookmarkEnd w:id="594"/>
      <w:bookmarkEnd w:id="595"/>
      <w:bookmarkEnd w:id="596"/>
      <w:bookmarkEnd w:id="597"/>
      <w:r>
        <w:rPr>
          <w:rFonts w:hint="eastAsia" w:ascii="宋体" w:hAnsi="宋体" w:eastAsia="宋体"/>
          <w:b/>
          <w:bCs/>
          <w:color w:val="auto"/>
          <w:sz w:val="21"/>
          <w:szCs w:val="21"/>
          <w:lang w:eastAsia="zh-CN"/>
        </w:rPr>
        <w:t>磋商</w:t>
      </w:r>
      <w:bookmarkEnd w:id="598"/>
      <w:bookmarkEnd w:id="599"/>
      <w:bookmarkEnd w:id="600"/>
      <w:bookmarkEnd w:id="601"/>
      <w:bookmarkEnd w:id="602"/>
      <w:bookmarkEnd w:id="603"/>
      <w:bookmarkEnd w:id="604"/>
      <w:bookmarkEnd w:id="605"/>
      <w:bookmarkEnd w:id="606"/>
      <w:bookmarkEnd w:id="607"/>
      <w:bookmarkEnd w:id="608"/>
      <w:bookmarkEnd w:id="609"/>
      <w:bookmarkEnd w:id="610"/>
    </w:p>
    <w:p w14:paraId="1127C563">
      <w:pPr>
        <w:spacing w:line="360" w:lineRule="auto"/>
        <w:ind w:firstLine="420"/>
        <w:rPr>
          <w:rFonts w:ascii="宋体" w:hAnsi="宋体" w:cs="宋体"/>
          <w:color w:val="auto"/>
          <w:lang w:eastAsia="zh-CN"/>
        </w:rPr>
      </w:pPr>
      <w:r>
        <w:rPr>
          <w:rFonts w:hint="eastAsia" w:ascii="宋体" w:hAnsi="宋体" w:cs="宋体"/>
          <w:color w:val="auto"/>
          <w:lang w:eastAsia="zh-CN"/>
        </w:rPr>
        <w:t>磋商小组按照第三章“评审办法”规定的方法、评审因素、标准和程序对响应文件进行评审。第三章“评审办法”没有规定的方法、评审因素和标准，不作为评标依据。</w:t>
      </w:r>
    </w:p>
    <w:p w14:paraId="277A9ED1">
      <w:pPr>
        <w:pStyle w:val="6"/>
        <w:outlineLvl w:val="1"/>
        <w:rPr>
          <w:color w:val="auto"/>
          <w:sz w:val="24"/>
          <w:szCs w:val="24"/>
          <w:lang w:eastAsia="zh-CN"/>
        </w:rPr>
      </w:pPr>
      <w:bookmarkStart w:id="611" w:name="_Toc9522"/>
      <w:bookmarkStart w:id="612" w:name="_Toc144974534"/>
      <w:bookmarkStart w:id="613" w:name="_Toc20347"/>
      <w:bookmarkStart w:id="614" w:name="_Toc152045566"/>
      <w:bookmarkStart w:id="615" w:name="_Toc3434"/>
      <w:bookmarkStart w:id="616" w:name="_Toc152042342"/>
      <w:bookmarkStart w:id="617" w:name="_Toc455080142"/>
      <w:r>
        <w:rPr>
          <w:rFonts w:hint="eastAsia"/>
          <w:color w:val="auto"/>
          <w:sz w:val="24"/>
          <w:szCs w:val="24"/>
          <w:lang w:eastAsia="zh-CN"/>
        </w:rPr>
        <w:t>7. 合同授予</w:t>
      </w:r>
      <w:bookmarkEnd w:id="611"/>
      <w:bookmarkEnd w:id="612"/>
      <w:bookmarkEnd w:id="613"/>
      <w:bookmarkEnd w:id="614"/>
      <w:bookmarkEnd w:id="615"/>
      <w:bookmarkEnd w:id="616"/>
      <w:bookmarkEnd w:id="617"/>
    </w:p>
    <w:p w14:paraId="63A40A18">
      <w:pPr>
        <w:pStyle w:val="37"/>
        <w:spacing w:line="360" w:lineRule="auto"/>
        <w:ind w:firstLine="422" w:firstLineChars="0"/>
        <w:outlineLvl w:val="1"/>
        <w:rPr>
          <w:rFonts w:ascii="宋体" w:hAnsi="宋体" w:eastAsia="宋体"/>
          <w:b/>
          <w:bCs/>
          <w:color w:val="auto"/>
          <w:sz w:val="21"/>
          <w:szCs w:val="21"/>
          <w:lang w:eastAsia="zh-CN"/>
        </w:rPr>
      </w:pPr>
      <w:bookmarkStart w:id="618" w:name="_Toc32312"/>
      <w:bookmarkStart w:id="619" w:name="_Toc7358"/>
      <w:bookmarkStart w:id="620" w:name="_Toc29664"/>
      <w:bookmarkStart w:id="621" w:name="_Toc20166"/>
      <w:bookmarkStart w:id="622" w:name="_Toc152042343"/>
      <w:bookmarkStart w:id="623" w:name="_Toc29686"/>
      <w:bookmarkStart w:id="624" w:name="_Toc318450710"/>
      <w:bookmarkStart w:id="625" w:name="_Toc455080143"/>
      <w:bookmarkStart w:id="626" w:name="_Toc22461"/>
      <w:bookmarkStart w:id="627" w:name="_Toc25316"/>
      <w:bookmarkStart w:id="628" w:name="_Toc14528"/>
      <w:bookmarkStart w:id="629" w:name="_Toc144974535"/>
      <w:bookmarkStart w:id="630" w:name="_Toc490667863"/>
      <w:bookmarkStart w:id="631" w:name="_Toc466298126"/>
      <w:bookmarkStart w:id="632" w:name="_Toc28919"/>
      <w:bookmarkStart w:id="633" w:name="_Toc20777"/>
      <w:bookmarkStart w:id="634" w:name="_Toc455867803"/>
      <w:bookmarkStart w:id="635" w:name="_Toc152045567"/>
      <w:bookmarkStart w:id="636" w:name="_Toc17660"/>
      <w:bookmarkStart w:id="637" w:name="_Toc11409"/>
      <w:r>
        <w:rPr>
          <w:rFonts w:hint="eastAsia" w:ascii="宋体" w:hAnsi="宋体" w:eastAsia="宋体"/>
          <w:b/>
          <w:bCs/>
          <w:color w:val="auto"/>
          <w:sz w:val="21"/>
          <w:szCs w:val="21"/>
          <w:lang w:eastAsia="zh-CN"/>
        </w:rPr>
        <w:t>7.1 定标方式</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589C902A">
      <w:pPr>
        <w:spacing w:line="360" w:lineRule="auto"/>
        <w:ind w:firstLine="420"/>
        <w:rPr>
          <w:rFonts w:hint="eastAsia" w:ascii="宋体" w:hAnsi="宋体" w:cs="宋体"/>
          <w:color w:val="auto"/>
          <w:lang w:eastAsia="zh-CN"/>
        </w:rPr>
      </w:pPr>
      <w:bookmarkStart w:id="638" w:name="_Toc318450711"/>
      <w:bookmarkStart w:id="639" w:name="_Toc152042344"/>
      <w:bookmarkStart w:id="640" w:name="_Toc7066"/>
      <w:bookmarkStart w:id="641" w:name="_Toc28254"/>
      <w:bookmarkStart w:id="642" w:name="_Toc10868"/>
      <w:bookmarkStart w:id="643" w:name="_Toc144974536"/>
      <w:bookmarkStart w:id="644" w:name="_Toc152045568"/>
      <w:r>
        <w:rPr>
          <w:rFonts w:hint="eastAsia" w:ascii="宋体" w:hAnsi="宋体" w:cs="宋体"/>
          <w:color w:val="auto"/>
          <w:lang w:eastAsia="zh-CN"/>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D09A362">
      <w:pPr>
        <w:spacing w:line="360" w:lineRule="auto"/>
        <w:ind w:firstLine="420"/>
        <w:rPr>
          <w:rFonts w:hint="eastAsia" w:ascii="宋体" w:hAnsi="宋体" w:cs="宋体"/>
          <w:color w:val="auto"/>
          <w:lang w:eastAsia="zh-CN"/>
        </w:rPr>
      </w:pPr>
      <w:r>
        <w:rPr>
          <w:rFonts w:hint="eastAsia" w:ascii="宋体" w:hAnsi="宋体" w:cs="宋体"/>
          <w:color w:val="auto"/>
          <w:lang w:val="en-US" w:eastAsia="zh-CN"/>
        </w:rPr>
        <w:t>根据《政府采购竞争性磋商采购方式管理暂行办法》(财库〔2014〕214 号)和《财政部关于政府采购竞争性磋商采购方式管理暂行办法有关问题的补充通知》（财库〔2015〕124 号）规定，符合“政府购买服务项目（含政府和社会资本合作项目）、市场竞争不充分的科研项目以及需要扶持的科技成果转化项目”情形的，可以推荐2家成交候选人</w:t>
      </w:r>
      <w:r>
        <w:rPr>
          <w:rFonts w:hint="eastAsia" w:ascii="宋体" w:hAnsi="宋体" w:cs="宋体"/>
          <w:color w:val="auto"/>
          <w:lang w:eastAsia="zh-CN"/>
        </w:rPr>
        <w:t>。</w:t>
      </w:r>
    </w:p>
    <w:p w14:paraId="4D9C54F5">
      <w:pPr>
        <w:pStyle w:val="37"/>
        <w:spacing w:line="360" w:lineRule="auto"/>
        <w:ind w:firstLine="422" w:firstLineChars="0"/>
        <w:outlineLvl w:val="1"/>
        <w:rPr>
          <w:rFonts w:ascii="宋体" w:hAnsi="宋体" w:eastAsia="宋体"/>
          <w:b/>
          <w:bCs/>
          <w:color w:val="auto"/>
          <w:sz w:val="21"/>
          <w:szCs w:val="21"/>
          <w:lang w:eastAsia="zh-CN"/>
        </w:rPr>
      </w:pPr>
      <w:bookmarkStart w:id="645" w:name="_Toc29215"/>
      <w:bookmarkStart w:id="646" w:name="_Toc455080144"/>
      <w:bookmarkStart w:id="647" w:name="_Toc466298127"/>
      <w:bookmarkStart w:id="648" w:name="_Toc455867804"/>
      <w:bookmarkStart w:id="649" w:name="_Toc9775"/>
      <w:bookmarkStart w:id="650" w:name="_Toc9897"/>
      <w:bookmarkStart w:id="651" w:name="_Toc490667864"/>
      <w:bookmarkStart w:id="652" w:name="_Toc15825"/>
      <w:bookmarkStart w:id="653" w:name="_Toc5428"/>
      <w:bookmarkStart w:id="654" w:name="_Toc28177"/>
      <w:bookmarkStart w:id="655" w:name="_Toc10209"/>
      <w:bookmarkStart w:id="656" w:name="_Toc16163"/>
      <w:bookmarkStart w:id="657" w:name="_Toc5668"/>
      <w:r>
        <w:rPr>
          <w:rFonts w:hint="eastAsia" w:ascii="宋体" w:hAnsi="宋体" w:eastAsia="宋体"/>
          <w:b/>
          <w:bCs/>
          <w:color w:val="auto"/>
          <w:sz w:val="21"/>
          <w:szCs w:val="21"/>
          <w:lang w:eastAsia="zh-CN"/>
        </w:rPr>
        <w:t>7.2 成交通知</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250F0443">
      <w:pPr>
        <w:spacing w:line="360" w:lineRule="auto"/>
        <w:ind w:firstLine="420"/>
        <w:rPr>
          <w:rFonts w:ascii="宋体" w:hAnsi="宋体" w:cs="宋体"/>
          <w:color w:val="auto"/>
          <w:lang w:eastAsia="zh-CN"/>
        </w:rPr>
      </w:pPr>
      <w:r>
        <w:rPr>
          <w:rFonts w:hint="eastAsia" w:ascii="宋体" w:hAnsi="宋体" w:cs="宋体"/>
          <w:color w:val="auto"/>
          <w:lang w:eastAsia="zh-CN"/>
        </w:rPr>
        <w:t>在本章第3.3.1款规定的磋商有效期内，采购人以书面形式向成交人发出成交通知书，同时将成交结果通知未成交的供应商。</w:t>
      </w:r>
    </w:p>
    <w:p w14:paraId="5411EE1C">
      <w:pPr>
        <w:spacing w:line="400" w:lineRule="exact"/>
        <w:ind w:firstLine="422" w:firstLineChars="0"/>
        <w:outlineLvl w:val="1"/>
        <w:rPr>
          <w:rFonts w:ascii="宋体" w:hAnsi="宋体" w:cs="宋体"/>
          <w:b/>
          <w:bCs/>
          <w:color w:val="auto"/>
          <w:lang w:eastAsia="zh-CN"/>
        </w:rPr>
      </w:pPr>
      <w:r>
        <w:rPr>
          <w:rFonts w:hint="eastAsia" w:ascii="宋体" w:hAnsi="宋体" w:cs="宋体"/>
          <w:b/>
          <w:bCs/>
          <w:color w:val="auto"/>
          <w:lang w:eastAsia="zh-CN"/>
        </w:rPr>
        <w:t>7.3 履约保证金</w:t>
      </w:r>
    </w:p>
    <w:p w14:paraId="50E08A78">
      <w:pPr>
        <w:pStyle w:val="37"/>
        <w:spacing w:line="360" w:lineRule="auto"/>
        <w:ind w:firstLine="422" w:firstLineChars="0"/>
        <w:outlineLvl w:val="9"/>
        <w:rPr>
          <w:rFonts w:ascii="宋体" w:hAnsi="宋体" w:eastAsia="宋体"/>
          <w:b/>
          <w:bCs/>
          <w:color w:val="auto"/>
          <w:sz w:val="21"/>
          <w:szCs w:val="21"/>
          <w:lang w:eastAsia="zh-CN"/>
        </w:rPr>
      </w:pPr>
      <w:bookmarkStart w:id="658" w:name="_Toc17754"/>
      <w:bookmarkStart w:id="659" w:name="_Toc29268"/>
      <w:bookmarkStart w:id="660" w:name="_Toc318450712"/>
      <w:bookmarkStart w:id="661" w:name="_Toc144974538"/>
      <w:bookmarkStart w:id="662" w:name="_Toc13147"/>
      <w:bookmarkStart w:id="663" w:name="_Toc26655"/>
      <w:bookmarkStart w:id="664" w:name="_Toc152045570"/>
      <w:bookmarkStart w:id="665" w:name="_Toc26915"/>
      <w:bookmarkStart w:id="666" w:name="_Toc490667865"/>
      <w:bookmarkStart w:id="667" w:name="_Toc455867805"/>
      <w:bookmarkStart w:id="668" w:name="_Toc152042346"/>
      <w:bookmarkStart w:id="669" w:name="_Toc466298128"/>
      <w:bookmarkStart w:id="670" w:name="_Toc10082"/>
      <w:bookmarkStart w:id="671" w:name="_Toc21271"/>
      <w:bookmarkStart w:id="672" w:name="_Toc8886"/>
      <w:bookmarkStart w:id="673" w:name="_Toc15458"/>
      <w:bookmarkStart w:id="674" w:name="_Toc24026"/>
      <w:bookmarkStart w:id="675" w:name="_Toc12663"/>
      <w:bookmarkStart w:id="676" w:name="_Toc455080145"/>
      <w:bookmarkStart w:id="677" w:name="_Toc26760"/>
      <w:r>
        <w:rPr>
          <w:rFonts w:hint="eastAsia" w:ascii="宋体" w:hAnsi="宋体" w:eastAsia="宋体"/>
          <w:b/>
          <w:bCs/>
          <w:color w:val="auto"/>
          <w:sz w:val="21"/>
          <w:szCs w:val="21"/>
          <w:lang w:eastAsia="zh-CN"/>
        </w:rPr>
        <w:t>免收履约保证金</w:t>
      </w:r>
      <w:bookmarkEnd w:id="658"/>
      <w:bookmarkEnd w:id="659"/>
    </w:p>
    <w:p w14:paraId="694B3540">
      <w:pPr>
        <w:pStyle w:val="37"/>
        <w:spacing w:line="360" w:lineRule="auto"/>
        <w:ind w:firstLine="422" w:firstLineChars="0"/>
        <w:outlineLvl w:val="1"/>
        <w:rPr>
          <w:rFonts w:ascii="宋体" w:hAnsi="宋体" w:eastAsia="宋体"/>
          <w:b/>
          <w:bCs/>
          <w:color w:val="auto"/>
          <w:sz w:val="21"/>
          <w:szCs w:val="21"/>
          <w:lang w:eastAsia="zh-CN"/>
        </w:rPr>
      </w:pPr>
      <w:bookmarkStart w:id="678" w:name="_Toc12675"/>
      <w:bookmarkStart w:id="679" w:name="_Toc2343"/>
      <w:r>
        <w:rPr>
          <w:rFonts w:hint="eastAsia" w:ascii="宋体" w:hAnsi="宋体" w:eastAsia="宋体"/>
          <w:b/>
          <w:bCs/>
          <w:color w:val="auto"/>
          <w:sz w:val="21"/>
          <w:szCs w:val="21"/>
          <w:lang w:eastAsia="zh-CN"/>
        </w:rPr>
        <w:t>7.4 签订合同</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51FA7BE8">
      <w:pPr>
        <w:spacing w:line="360" w:lineRule="auto"/>
        <w:ind w:firstLine="420"/>
        <w:rPr>
          <w:rFonts w:ascii="宋体" w:hAnsi="宋体" w:eastAsia="宋体" w:cs="宋体"/>
          <w:color w:val="auto"/>
          <w:lang w:eastAsia="zh-CN"/>
        </w:rPr>
      </w:pPr>
      <w:r>
        <w:rPr>
          <w:rFonts w:hint="eastAsia" w:ascii="宋体" w:hAnsi="宋体" w:cs="宋体"/>
          <w:color w:val="auto"/>
          <w:lang w:eastAsia="zh-CN"/>
        </w:rPr>
        <w:t>7.4.1采购人和成交人应当自成交通知书发出之日起</w:t>
      </w:r>
      <w:r>
        <w:rPr>
          <w:rFonts w:hint="eastAsia" w:ascii="宋体" w:hAnsi="宋体" w:cs="宋体"/>
          <w:color w:val="auto"/>
          <w:lang w:val="en-US" w:eastAsia="zh-CN"/>
        </w:rPr>
        <w:t>30</w:t>
      </w:r>
      <w:r>
        <w:rPr>
          <w:rFonts w:hint="eastAsia" w:ascii="宋体" w:hAnsi="宋体" w:cs="宋体"/>
          <w:color w:val="auto"/>
          <w:lang w:eastAsia="zh-CN"/>
        </w:rPr>
        <w:t>天内，根据竞争性磋商文件和成交人的响应文件订立书面合同。成交人无正当理由拒签合同的，</w:t>
      </w:r>
      <w:r>
        <w:rPr>
          <w:rFonts w:hint="eastAsia" w:ascii="宋体" w:hAnsi="宋体" w:eastAsia="宋体" w:cs="宋体"/>
          <w:color w:val="auto"/>
          <w:lang w:eastAsia="zh-CN"/>
        </w:rPr>
        <w:t xml:space="preserve">采购人取消其成交资格；给采购人造成的损失的，成交人还应当对其损失予以赔偿。 </w:t>
      </w:r>
    </w:p>
    <w:p w14:paraId="03444FFA">
      <w:pPr>
        <w:spacing w:line="360" w:lineRule="auto"/>
        <w:ind w:firstLine="420"/>
        <w:rPr>
          <w:rFonts w:ascii="宋体" w:hAnsi="宋体" w:eastAsia="宋体" w:cs="宋体"/>
          <w:color w:val="auto"/>
          <w:lang w:eastAsia="zh-CN"/>
        </w:rPr>
      </w:pPr>
      <w:r>
        <w:rPr>
          <w:rFonts w:hint="eastAsia" w:ascii="宋体" w:hAnsi="宋体" w:cs="宋体"/>
          <w:color w:val="auto"/>
          <w:lang w:eastAsia="zh-CN"/>
        </w:rPr>
        <w:t>7.4.2 发出成交通知书后，采购人无正当理由拒签合同的，</w:t>
      </w:r>
      <w:r>
        <w:rPr>
          <w:rFonts w:hint="eastAsia" w:ascii="宋体" w:hAnsi="宋体" w:eastAsia="宋体" w:cs="宋体"/>
          <w:color w:val="auto"/>
          <w:lang w:eastAsia="zh-CN"/>
        </w:rPr>
        <w:t xml:space="preserve">给成交人造成损失的，还应当赔偿损失。 </w:t>
      </w:r>
      <w:bookmarkStart w:id="680" w:name="_Toc144974542"/>
      <w:bookmarkStart w:id="681" w:name="_Toc152042350"/>
      <w:bookmarkStart w:id="682" w:name="_Toc152045574"/>
    </w:p>
    <w:p w14:paraId="1F6D000D">
      <w:pPr>
        <w:pStyle w:val="6"/>
        <w:outlineLvl w:val="1"/>
        <w:rPr>
          <w:color w:val="auto"/>
          <w:sz w:val="24"/>
          <w:szCs w:val="24"/>
          <w:lang w:eastAsia="zh-CN"/>
        </w:rPr>
      </w:pPr>
      <w:bookmarkStart w:id="683" w:name="_Toc9085"/>
      <w:bookmarkStart w:id="684" w:name="_Toc16866"/>
      <w:bookmarkStart w:id="685" w:name="_Toc455080146"/>
      <w:bookmarkStart w:id="686" w:name="_Toc15308"/>
      <w:r>
        <w:rPr>
          <w:rFonts w:hint="eastAsia"/>
          <w:color w:val="auto"/>
          <w:sz w:val="24"/>
          <w:szCs w:val="24"/>
          <w:lang w:eastAsia="zh-CN"/>
        </w:rPr>
        <w:t>8.重新招标</w:t>
      </w:r>
      <w:bookmarkEnd w:id="683"/>
      <w:bookmarkEnd w:id="684"/>
      <w:bookmarkEnd w:id="685"/>
      <w:bookmarkEnd w:id="686"/>
    </w:p>
    <w:p w14:paraId="0CBE3E6E">
      <w:pPr>
        <w:spacing w:line="360" w:lineRule="auto"/>
        <w:ind w:firstLine="422" w:firstLineChars="0"/>
        <w:outlineLvl w:val="1"/>
        <w:rPr>
          <w:rFonts w:ascii="宋体" w:hAnsi="宋体"/>
          <w:color w:val="auto"/>
          <w:lang w:eastAsia="zh-CN"/>
        </w:rPr>
      </w:pPr>
      <w:bookmarkStart w:id="687" w:name="_Toc16556"/>
      <w:r>
        <w:rPr>
          <w:rFonts w:hint="eastAsia" w:ascii="宋体" w:hAnsi="宋体"/>
          <w:b/>
          <w:bCs/>
          <w:color w:val="auto"/>
          <w:lang w:eastAsia="zh-CN"/>
        </w:rPr>
        <w:t>8.1 重新招标</w:t>
      </w:r>
      <w:bookmarkEnd w:id="687"/>
    </w:p>
    <w:p w14:paraId="44BEEC88">
      <w:pPr>
        <w:spacing w:line="360" w:lineRule="auto"/>
        <w:ind w:firstLine="420"/>
        <w:rPr>
          <w:rFonts w:ascii="宋体" w:hAnsi="宋体"/>
          <w:color w:val="auto"/>
          <w:lang w:eastAsia="zh-CN"/>
        </w:rPr>
      </w:pPr>
      <w:bookmarkStart w:id="688" w:name="_Toc9985"/>
      <w:r>
        <w:rPr>
          <w:rFonts w:hint="eastAsia" w:ascii="宋体" w:hAnsi="宋体"/>
          <w:color w:val="auto"/>
          <w:lang w:eastAsia="zh-CN"/>
        </w:rPr>
        <w:t>有下列情形之一的，采购人将重新招标：</w:t>
      </w:r>
      <w:bookmarkEnd w:id="688"/>
    </w:p>
    <w:p w14:paraId="6F1957B7">
      <w:pPr>
        <w:spacing w:line="360" w:lineRule="auto"/>
        <w:ind w:firstLine="420"/>
        <w:rPr>
          <w:rFonts w:ascii="宋体" w:hAnsi="宋体"/>
          <w:color w:val="auto"/>
          <w:lang w:eastAsia="zh-CN"/>
        </w:rPr>
      </w:pPr>
      <w:bookmarkStart w:id="689" w:name="_Toc25063"/>
      <w:r>
        <w:rPr>
          <w:rFonts w:hint="eastAsia" w:ascii="宋体" w:hAnsi="宋体"/>
          <w:color w:val="auto"/>
          <w:lang w:eastAsia="zh-CN"/>
        </w:rPr>
        <w:t xml:space="preserve">   （1）提交响应文件截止时间止，供应商少于3个的；</w:t>
      </w:r>
      <w:bookmarkEnd w:id="689"/>
      <w:r>
        <w:rPr>
          <w:rFonts w:hint="eastAsia" w:ascii="宋体" w:hAnsi="宋体"/>
          <w:color w:val="auto"/>
          <w:lang w:eastAsia="zh-CN"/>
        </w:rPr>
        <w:t xml:space="preserve"> </w:t>
      </w:r>
    </w:p>
    <w:p w14:paraId="5094F3E3">
      <w:pPr>
        <w:spacing w:line="360" w:lineRule="auto"/>
        <w:ind w:firstLine="420"/>
        <w:rPr>
          <w:rFonts w:ascii="宋体" w:hAnsi="宋体"/>
          <w:color w:val="auto"/>
          <w:lang w:eastAsia="zh-CN"/>
        </w:rPr>
      </w:pPr>
      <w:r>
        <w:rPr>
          <w:rFonts w:hint="eastAsia" w:ascii="宋体" w:hAnsi="宋体"/>
          <w:color w:val="auto"/>
          <w:lang w:eastAsia="zh-CN"/>
        </w:rPr>
        <w:t xml:space="preserve">   </w:t>
      </w:r>
      <w:bookmarkStart w:id="690" w:name="_Toc17911"/>
      <w:r>
        <w:rPr>
          <w:rFonts w:hint="eastAsia" w:ascii="宋体" w:hAnsi="宋体"/>
          <w:color w:val="auto"/>
          <w:lang w:eastAsia="zh-CN"/>
        </w:rPr>
        <w:t>（2）经磋商小组评审后否决所有响应文件的。</w:t>
      </w:r>
      <w:bookmarkEnd w:id="690"/>
    </w:p>
    <w:p w14:paraId="115C251E">
      <w:pPr>
        <w:pStyle w:val="6"/>
        <w:outlineLvl w:val="1"/>
        <w:rPr>
          <w:color w:val="auto"/>
          <w:sz w:val="24"/>
          <w:szCs w:val="24"/>
          <w:lang w:eastAsia="zh-CN"/>
        </w:rPr>
      </w:pPr>
      <w:bookmarkStart w:id="691" w:name="_Toc17970"/>
      <w:bookmarkStart w:id="692" w:name="_Toc9996"/>
      <w:bookmarkStart w:id="693" w:name="_Toc23966"/>
      <w:bookmarkStart w:id="694" w:name="_Toc455080147"/>
      <w:r>
        <w:rPr>
          <w:rFonts w:hint="eastAsia"/>
          <w:color w:val="auto"/>
          <w:sz w:val="24"/>
          <w:szCs w:val="24"/>
          <w:lang w:eastAsia="zh-CN"/>
        </w:rPr>
        <w:t>9.纪律和监督</w:t>
      </w:r>
      <w:bookmarkEnd w:id="680"/>
      <w:bookmarkEnd w:id="681"/>
      <w:bookmarkEnd w:id="682"/>
      <w:bookmarkEnd w:id="691"/>
      <w:bookmarkEnd w:id="692"/>
      <w:bookmarkEnd w:id="693"/>
      <w:bookmarkEnd w:id="694"/>
    </w:p>
    <w:p w14:paraId="0D09E5AB">
      <w:pPr>
        <w:pStyle w:val="37"/>
        <w:spacing w:line="360" w:lineRule="auto"/>
        <w:ind w:firstLine="422" w:firstLineChars="0"/>
        <w:outlineLvl w:val="1"/>
        <w:rPr>
          <w:rFonts w:ascii="宋体" w:hAnsi="宋体" w:eastAsia="宋体"/>
          <w:b/>
          <w:bCs/>
          <w:color w:val="auto"/>
          <w:sz w:val="21"/>
          <w:szCs w:val="21"/>
          <w:lang w:eastAsia="zh-CN"/>
        </w:rPr>
      </w:pPr>
      <w:bookmarkStart w:id="695" w:name="_Toc27836"/>
      <w:bookmarkStart w:id="696" w:name="_Toc144974543"/>
      <w:bookmarkStart w:id="697" w:name="_Toc152042351"/>
      <w:bookmarkStart w:id="698" w:name="_Toc318450714"/>
      <w:bookmarkStart w:id="699" w:name="_Toc455080148"/>
      <w:bookmarkStart w:id="700" w:name="_Toc12992"/>
      <w:bookmarkStart w:id="701" w:name="_Toc490667868"/>
      <w:bookmarkStart w:id="702" w:name="_Toc19159"/>
      <w:bookmarkStart w:id="703" w:name="_Toc152045575"/>
      <w:bookmarkStart w:id="704" w:name="_Toc20009"/>
      <w:bookmarkStart w:id="705" w:name="_Toc269"/>
      <w:bookmarkStart w:id="706" w:name="_Toc13970"/>
      <w:bookmarkStart w:id="707" w:name="_Toc26864"/>
      <w:bookmarkStart w:id="708" w:name="_Toc697"/>
      <w:bookmarkStart w:id="709" w:name="_Toc455867808"/>
      <w:bookmarkStart w:id="710" w:name="_Toc9409"/>
      <w:bookmarkStart w:id="711" w:name="_Toc1282"/>
      <w:bookmarkStart w:id="712" w:name="_Toc466298131"/>
      <w:bookmarkStart w:id="713" w:name="_Toc15769"/>
      <w:bookmarkStart w:id="714" w:name="_Toc15592"/>
      <w:r>
        <w:rPr>
          <w:rFonts w:hint="eastAsia" w:ascii="宋体" w:hAnsi="宋体" w:eastAsia="宋体"/>
          <w:b/>
          <w:bCs/>
          <w:color w:val="auto"/>
          <w:sz w:val="21"/>
          <w:szCs w:val="21"/>
          <w:lang w:eastAsia="zh-CN"/>
        </w:rPr>
        <w:t>9.1 对采购人的纪律要求</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36C8276">
      <w:pPr>
        <w:spacing w:line="360" w:lineRule="auto"/>
        <w:ind w:firstLine="420"/>
        <w:rPr>
          <w:rFonts w:ascii="宋体" w:hAnsi="宋体" w:cs="宋体"/>
          <w:color w:val="auto"/>
          <w:lang w:eastAsia="zh-CN"/>
        </w:rPr>
      </w:pPr>
      <w:r>
        <w:rPr>
          <w:rFonts w:hint="eastAsia" w:ascii="宋体" w:hAnsi="宋体" w:cs="宋体"/>
          <w:color w:val="auto"/>
          <w:lang w:eastAsia="zh-CN"/>
        </w:rPr>
        <w:t>采购人不得泄漏磋商活动中应当保密的情况和资料，不得与供应商串通损害国家利益、社会公共利益或者他人合法权益。</w:t>
      </w:r>
    </w:p>
    <w:p w14:paraId="2444839D">
      <w:pPr>
        <w:pStyle w:val="37"/>
        <w:spacing w:line="360" w:lineRule="auto"/>
        <w:ind w:firstLine="422" w:firstLineChars="0"/>
        <w:outlineLvl w:val="1"/>
        <w:rPr>
          <w:rFonts w:ascii="宋体" w:hAnsi="宋体" w:eastAsia="宋体"/>
          <w:color w:val="auto"/>
          <w:sz w:val="21"/>
          <w:szCs w:val="21"/>
          <w:lang w:eastAsia="zh-CN"/>
        </w:rPr>
      </w:pPr>
      <w:bookmarkStart w:id="715" w:name="_Toc18604"/>
      <w:bookmarkStart w:id="716" w:name="_Toc3089"/>
      <w:bookmarkStart w:id="717" w:name="_Toc15795"/>
      <w:bookmarkStart w:id="718" w:name="_Toc7572"/>
      <w:bookmarkStart w:id="719" w:name="_Toc144974544"/>
      <w:bookmarkStart w:id="720" w:name="_Toc152045576"/>
      <w:bookmarkStart w:id="721" w:name="_Toc23"/>
      <w:bookmarkStart w:id="722" w:name="_Toc21646"/>
      <w:bookmarkStart w:id="723" w:name="_Toc17040"/>
      <w:bookmarkStart w:id="724" w:name="_Toc318450715"/>
      <w:bookmarkStart w:id="725" w:name="_Toc455080149"/>
      <w:bookmarkStart w:id="726" w:name="_Toc19167"/>
      <w:bookmarkStart w:id="727" w:name="_Toc1743"/>
      <w:bookmarkStart w:id="728" w:name="_Toc27698"/>
      <w:bookmarkStart w:id="729" w:name="_Toc18204"/>
      <w:bookmarkStart w:id="730" w:name="_Toc20261"/>
      <w:bookmarkStart w:id="731" w:name="_Toc455867809"/>
      <w:bookmarkStart w:id="732" w:name="_Toc490667869"/>
      <w:bookmarkStart w:id="733" w:name="_Toc152042352"/>
      <w:bookmarkStart w:id="734" w:name="_Toc466298132"/>
      <w:r>
        <w:rPr>
          <w:rFonts w:hint="eastAsia" w:ascii="宋体" w:hAnsi="宋体" w:eastAsia="宋体"/>
          <w:b/>
          <w:bCs/>
          <w:color w:val="auto"/>
          <w:sz w:val="21"/>
          <w:szCs w:val="21"/>
          <w:lang w:eastAsia="zh-CN"/>
        </w:rPr>
        <w:t>9.2 对供应商的纪律要求</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67280214">
      <w:pPr>
        <w:spacing w:line="360" w:lineRule="auto"/>
        <w:ind w:firstLine="420"/>
        <w:rPr>
          <w:rFonts w:ascii="宋体" w:hAnsi="宋体" w:cs="宋体"/>
          <w:color w:val="auto"/>
          <w:lang w:eastAsia="zh-CN"/>
        </w:rPr>
      </w:pPr>
      <w:r>
        <w:rPr>
          <w:rFonts w:hint="eastAsia" w:ascii="宋体" w:hAnsi="宋体" w:cs="宋体"/>
          <w:color w:val="auto"/>
          <w:lang w:eastAsia="zh-CN"/>
        </w:rPr>
        <w:t>供应商不得相互串通或者与采购人串通，不得向采购人或者谈判小组行贿谋取成交，不得以他人名义或者以其他方式弄虚作假骗取成交；供应商不得以任何方式干扰、影响评审工作。</w:t>
      </w:r>
    </w:p>
    <w:p w14:paraId="10DE81A7">
      <w:pPr>
        <w:pStyle w:val="37"/>
        <w:spacing w:line="360" w:lineRule="auto"/>
        <w:ind w:firstLine="422" w:firstLineChars="0"/>
        <w:outlineLvl w:val="1"/>
        <w:rPr>
          <w:rFonts w:ascii="宋体" w:hAnsi="宋体" w:eastAsia="宋体"/>
          <w:b/>
          <w:bCs/>
          <w:color w:val="auto"/>
          <w:sz w:val="21"/>
          <w:szCs w:val="21"/>
          <w:lang w:eastAsia="zh-CN"/>
        </w:rPr>
      </w:pPr>
      <w:bookmarkStart w:id="735" w:name="_Toc19965"/>
      <w:bookmarkStart w:id="736" w:name="_Toc25241"/>
      <w:bookmarkStart w:id="737" w:name="_Toc7107"/>
      <w:bookmarkStart w:id="738" w:name="_Toc455080150"/>
      <w:bookmarkStart w:id="739" w:name="_Toc466298133"/>
      <w:bookmarkStart w:id="740" w:name="_Toc455867810"/>
      <w:bookmarkStart w:id="741" w:name="_Toc28813"/>
      <w:bookmarkStart w:id="742" w:name="_Toc31483"/>
      <w:bookmarkStart w:id="743" w:name="_Toc31001"/>
      <w:bookmarkStart w:id="744" w:name="_Toc7439"/>
      <w:bookmarkStart w:id="745" w:name="_Toc30153"/>
      <w:bookmarkStart w:id="746" w:name="_Toc144974545"/>
      <w:bookmarkStart w:id="747" w:name="_Toc152042353"/>
      <w:bookmarkStart w:id="748" w:name="_Toc490667870"/>
      <w:bookmarkStart w:id="749" w:name="_Toc25211"/>
      <w:bookmarkStart w:id="750" w:name="_Toc11503"/>
      <w:bookmarkStart w:id="751" w:name="_Toc318450716"/>
      <w:bookmarkStart w:id="752" w:name="_Toc32320"/>
      <w:bookmarkStart w:id="753" w:name="_Toc12177"/>
      <w:bookmarkStart w:id="754" w:name="_Toc152045577"/>
      <w:r>
        <w:rPr>
          <w:rFonts w:hint="eastAsia" w:ascii="宋体" w:hAnsi="宋体" w:eastAsia="宋体"/>
          <w:b/>
          <w:bCs/>
          <w:color w:val="auto"/>
          <w:sz w:val="21"/>
          <w:szCs w:val="21"/>
          <w:lang w:eastAsia="zh-CN"/>
        </w:rPr>
        <w:t>9.3 对磋商小组成员的纪律要求</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1CB576DF">
      <w:pPr>
        <w:spacing w:line="360" w:lineRule="auto"/>
        <w:ind w:firstLine="420"/>
        <w:rPr>
          <w:rFonts w:ascii="宋体" w:hAnsi="宋体" w:cs="宋体"/>
          <w:color w:val="auto"/>
          <w:lang w:eastAsia="zh-CN"/>
        </w:rPr>
      </w:pPr>
      <w:r>
        <w:rPr>
          <w:rFonts w:hint="eastAsia" w:ascii="宋体" w:hAnsi="宋体" w:cs="宋体"/>
          <w:color w:val="auto"/>
          <w:lang w:eastAsia="zh-CN"/>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60B87DC0">
      <w:pPr>
        <w:pStyle w:val="37"/>
        <w:spacing w:line="360" w:lineRule="auto"/>
        <w:ind w:firstLine="422" w:firstLineChars="0"/>
        <w:outlineLvl w:val="1"/>
        <w:rPr>
          <w:rFonts w:ascii="宋体" w:hAnsi="宋体" w:eastAsia="宋体"/>
          <w:color w:val="auto"/>
          <w:sz w:val="21"/>
          <w:szCs w:val="21"/>
          <w:lang w:eastAsia="zh-CN"/>
        </w:rPr>
      </w:pPr>
      <w:bookmarkStart w:id="755" w:name="_Toc26462"/>
      <w:bookmarkStart w:id="756" w:name="_Toc1295"/>
      <w:bookmarkStart w:id="757" w:name="_Toc7368"/>
      <w:bookmarkStart w:id="758" w:name="_Toc9063"/>
      <w:bookmarkStart w:id="759" w:name="_Toc27559"/>
      <w:bookmarkStart w:id="760" w:name="_Toc490667871"/>
      <w:bookmarkStart w:id="761" w:name="_Toc466298134"/>
      <w:bookmarkStart w:id="762" w:name="_Toc318450717"/>
      <w:bookmarkStart w:id="763" w:name="_Toc455867811"/>
      <w:bookmarkStart w:id="764" w:name="_Toc15921"/>
      <w:bookmarkStart w:id="765" w:name="_Toc19485"/>
      <w:bookmarkStart w:id="766" w:name="_Toc20546"/>
      <w:bookmarkStart w:id="767" w:name="_Toc455080151"/>
      <w:bookmarkStart w:id="768" w:name="_Toc152045578"/>
      <w:bookmarkStart w:id="769" w:name="_Toc152042354"/>
      <w:bookmarkStart w:id="770" w:name="_Toc28983"/>
      <w:bookmarkStart w:id="771" w:name="_Toc23717"/>
      <w:bookmarkStart w:id="772" w:name="_Toc235"/>
      <w:bookmarkStart w:id="773" w:name="_Toc24"/>
      <w:bookmarkStart w:id="774" w:name="_Toc144974546"/>
      <w:r>
        <w:rPr>
          <w:rFonts w:hint="eastAsia" w:ascii="宋体" w:hAnsi="宋体" w:eastAsia="宋体"/>
          <w:b/>
          <w:bCs/>
          <w:color w:val="auto"/>
          <w:sz w:val="21"/>
          <w:szCs w:val="21"/>
          <w:lang w:eastAsia="zh-CN"/>
        </w:rPr>
        <w:t>9.4 对与评标活动有关的工作人员的纪律要求</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2816FA83">
      <w:pPr>
        <w:spacing w:line="360" w:lineRule="auto"/>
        <w:ind w:firstLine="420"/>
        <w:rPr>
          <w:rFonts w:ascii="宋体" w:hAnsi="宋体" w:cs="宋体"/>
          <w:color w:val="auto"/>
          <w:lang w:eastAsia="zh-CN"/>
        </w:rPr>
      </w:pPr>
      <w:bookmarkStart w:id="775" w:name="_Toc152042355"/>
      <w:r>
        <w:rPr>
          <w:rFonts w:hint="eastAsia" w:ascii="宋体" w:hAnsi="宋体" w:cs="宋体"/>
          <w:color w:val="auto"/>
          <w:lang w:eastAsia="zh-CN"/>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75"/>
    </w:p>
    <w:p w14:paraId="195CD450">
      <w:pPr>
        <w:pStyle w:val="37"/>
        <w:spacing w:line="360" w:lineRule="auto"/>
        <w:ind w:firstLine="422" w:firstLineChars="0"/>
        <w:outlineLvl w:val="1"/>
        <w:rPr>
          <w:rFonts w:ascii="宋体" w:hAnsi="宋体" w:eastAsia="宋体"/>
          <w:b/>
          <w:bCs/>
          <w:color w:val="auto"/>
          <w:sz w:val="21"/>
          <w:szCs w:val="21"/>
          <w:lang w:eastAsia="zh-CN"/>
        </w:rPr>
      </w:pPr>
      <w:bookmarkStart w:id="776" w:name="_Toc466298135"/>
      <w:bookmarkStart w:id="777" w:name="_Toc17735"/>
      <w:bookmarkStart w:id="778" w:name="_Toc8074"/>
      <w:bookmarkStart w:id="779" w:name="_Toc455080152"/>
      <w:bookmarkStart w:id="780" w:name="_Toc490667872"/>
      <w:bookmarkStart w:id="781" w:name="_Toc318450718"/>
      <w:bookmarkStart w:id="782" w:name="_Toc455867812"/>
      <w:bookmarkStart w:id="783" w:name="_Toc31010"/>
      <w:bookmarkStart w:id="784" w:name="_Toc152045579"/>
      <w:bookmarkStart w:id="785" w:name="_Toc28920"/>
      <w:bookmarkStart w:id="786" w:name="_Toc1820"/>
      <w:bookmarkStart w:id="787" w:name="_Toc6199"/>
      <w:bookmarkStart w:id="788" w:name="_Toc25751"/>
      <w:bookmarkStart w:id="789" w:name="_Toc32675"/>
      <w:bookmarkStart w:id="790" w:name="_Toc3617"/>
      <w:bookmarkStart w:id="791" w:name="_Toc14070"/>
      <w:bookmarkStart w:id="792" w:name="_Toc152042356"/>
      <w:bookmarkStart w:id="793" w:name="_Toc5504"/>
      <w:bookmarkStart w:id="794" w:name="_Toc3303"/>
      <w:r>
        <w:rPr>
          <w:rFonts w:hint="eastAsia" w:ascii="宋体" w:hAnsi="宋体" w:eastAsia="宋体"/>
          <w:b/>
          <w:bCs/>
          <w:color w:val="auto"/>
          <w:sz w:val="21"/>
          <w:szCs w:val="21"/>
          <w:lang w:eastAsia="zh-CN"/>
        </w:rPr>
        <w:t>9.5 投诉</w:t>
      </w:r>
      <w:bookmarkEnd w:id="774"/>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6EC712CD">
      <w:pPr>
        <w:spacing w:line="360" w:lineRule="auto"/>
        <w:ind w:firstLine="420"/>
        <w:rPr>
          <w:rFonts w:ascii="宋体" w:hAnsi="宋体" w:cs="宋体"/>
          <w:color w:val="auto"/>
          <w:lang w:eastAsia="zh-CN"/>
        </w:rPr>
      </w:pPr>
      <w:r>
        <w:rPr>
          <w:rFonts w:hint="eastAsia" w:ascii="宋体" w:hAnsi="宋体" w:cs="宋体"/>
          <w:color w:val="auto"/>
          <w:lang w:eastAsia="zh-CN"/>
        </w:rPr>
        <w:t>供应商和其他利害关系人认为本次磋商活动违反法律、法规和规章规定的，有权向有关行政监督部门投诉。</w:t>
      </w:r>
    </w:p>
    <w:p w14:paraId="7470E745">
      <w:pPr>
        <w:pStyle w:val="6"/>
        <w:outlineLvl w:val="1"/>
        <w:rPr>
          <w:color w:val="auto"/>
          <w:sz w:val="24"/>
          <w:szCs w:val="24"/>
          <w:lang w:eastAsia="zh-CN"/>
        </w:rPr>
      </w:pPr>
      <w:bookmarkStart w:id="795" w:name="_Toc455080153"/>
      <w:bookmarkStart w:id="796" w:name="_Toc144974547"/>
      <w:bookmarkStart w:id="797" w:name="_Toc152045580"/>
      <w:bookmarkStart w:id="798" w:name="_Toc11062"/>
      <w:bookmarkStart w:id="799" w:name="_Toc14221"/>
      <w:bookmarkStart w:id="800" w:name="_Toc17476"/>
      <w:bookmarkStart w:id="801" w:name="_Toc152042357"/>
      <w:r>
        <w:rPr>
          <w:rFonts w:hint="eastAsia"/>
          <w:color w:val="auto"/>
          <w:sz w:val="24"/>
          <w:szCs w:val="24"/>
          <w:lang w:eastAsia="zh-CN"/>
        </w:rPr>
        <w:t>10. 需要补充的其他内容</w:t>
      </w:r>
      <w:bookmarkEnd w:id="795"/>
      <w:bookmarkEnd w:id="796"/>
      <w:bookmarkEnd w:id="797"/>
      <w:bookmarkEnd w:id="798"/>
      <w:bookmarkEnd w:id="799"/>
      <w:bookmarkEnd w:id="800"/>
      <w:bookmarkEnd w:id="801"/>
    </w:p>
    <w:p w14:paraId="27F36006">
      <w:pPr>
        <w:ind w:firstLine="420" w:firstLineChars="0"/>
        <w:outlineLvl w:val="9"/>
        <w:rPr>
          <w:rFonts w:ascii="宋体" w:hAnsi="宋体" w:cs="宋体"/>
          <w:color w:val="auto"/>
          <w:lang w:eastAsia="zh-CN"/>
        </w:rPr>
      </w:pPr>
      <w:bookmarkStart w:id="802" w:name="_Toc9443"/>
      <w:bookmarkStart w:id="803" w:name="_Toc17980"/>
      <w:bookmarkStart w:id="804" w:name="_Toc466298137"/>
      <w:bookmarkStart w:id="805" w:name="_Toc455080154"/>
      <w:bookmarkStart w:id="806" w:name="_Toc455867814"/>
      <w:bookmarkStart w:id="807" w:name="_Toc144974565"/>
      <w:bookmarkStart w:id="808" w:name="_Toc152045598"/>
      <w:bookmarkStart w:id="809" w:name="_Toc152042375"/>
      <w:r>
        <w:rPr>
          <w:rFonts w:ascii="宋体" w:hAnsi="宋体" w:cs="宋体"/>
          <w:color w:val="auto"/>
          <w:lang w:eastAsia="zh-CN"/>
        </w:rPr>
        <w:t>详见投标须知前附表。</w:t>
      </w:r>
      <w:bookmarkEnd w:id="802"/>
      <w:bookmarkEnd w:id="803"/>
    </w:p>
    <w:p w14:paraId="0E3B24F7">
      <w:pPr>
        <w:ind w:firstLine="630" w:firstLineChars="300"/>
        <w:rPr>
          <w:lang w:eastAsia="zh-CN"/>
        </w:rPr>
        <w:sectPr>
          <w:footerReference r:id="rId6" w:type="default"/>
          <w:pgSz w:w="11907" w:h="16840"/>
          <w:pgMar w:top="1431" w:right="1015" w:bottom="981" w:left="1180" w:header="0" w:footer="746" w:gutter="0"/>
          <w:cols w:space="720" w:num="1"/>
        </w:sectPr>
      </w:pPr>
      <w:bookmarkStart w:id="810" w:name="_Toc6192"/>
      <w:r>
        <w:rPr>
          <w:rFonts w:hint="eastAsia"/>
          <w:lang w:eastAsia="zh-CN"/>
        </w:rPr>
        <w:t>。</w:t>
      </w:r>
    </w:p>
    <w:p w14:paraId="6F2E96D7">
      <w:pPr>
        <w:jc w:val="center"/>
        <w:outlineLvl w:val="0"/>
        <w:rPr>
          <w:rFonts w:ascii="宋体" w:hAnsi="宋体" w:cs="宋体"/>
          <w:bCs/>
          <w:color w:val="auto"/>
          <w:sz w:val="32"/>
          <w:szCs w:val="32"/>
          <w:lang w:eastAsia="zh-CN"/>
        </w:rPr>
      </w:pPr>
      <w:bookmarkStart w:id="811" w:name="_Toc15596"/>
      <w:bookmarkStart w:id="812" w:name="_Toc5002"/>
      <w:r>
        <w:rPr>
          <w:rFonts w:hint="eastAsia" w:ascii="宋体" w:hAnsi="宋体" w:cs="宋体"/>
          <w:b/>
          <w:color w:val="auto"/>
          <w:kern w:val="44"/>
          <w:sz w:val="32"/>
          <w:szCs w:val="32"/>
          <w:lang w:eastAsia="zh-CN"/>
        </w:rPr>
        <w:t>第三章  评审办法（综合评分法）</w:t>
      </w:r>
      <w:bookmarkEnd w:id="804"/>
      <w:bookmarkEnd w:id="805"/>
      <w:bookmarkEnd w:id="806"/>
      <w:bookmarkEnd w:id="810"/>
      <w:bookmarkEnd w:id="811"/>
      <w:bookmarkEnd w:id="812"/>
    </w:p>
    <w:bookmarkEnd w:id="807"/>
    <w:bookmarkEnd w:id="808"/>
    <w:bookmarkEnd w:id="809"/>
    <w:p w14:paraId="4A6B1602">
      <w:pPr>
        <w:ind w:firstLine="480" w:firstLineChars="0"/>
        <w:jc w:val="center"/>
        <w:outlineLvl w:val="9"/>
        <w:rPr>
          <w:rFonts w:ascii="宋体" w:hAnsi="宋体"/>
          <w:color w:val="auto"/>
          <w:sz w:val="24"/>
          <w:lang w:eastAsia="zh-CN"/>
        </w:rPr>
      </w:pPr>
      <w:bookmarkStart w:id="813" w:name="_Toc27806"/>
      <w:bookmarkStart w:id="814" w:name="_Toc28069"/>
      <w:bookmarkStart w:id="815" w:name="_Toc281405527"/>
      <w:bookmarkStart w:id="816" w:name="_Toc455080156"/>
      <w:bookmarkStart w:id="817" w:name="_Toc32627"/>
      <w:bookmarkStart w:id="818" w:name="_Toc152042376"/>
      <w:bookmarkStart w:id="819" w:name="_Toc318450721"/>
      <w:bookmarkStart w:id="820" w:name="_Toc466298139"/>
      <w:bookmarkStart w:id="821" w:name="_Toc144974566"/>
      <w:bookmarkStart w:id="822" w:name="_Toc10964"/>
      <w:bookmarkStart w:id="823" w:name="_Toc152045599"/>
      <w:bookmarkStart w:id="824" w:name="_Toc455867816"/>
      <w:r>
        <w:rPr>
          <w:rFonts w:hint="eastAsia" w:ascii="宋体" w:hAnsi="宋体"/>
          <w:color w:val="auto"/>
          <w:sz w:val="24"/>
          <w:lang w:eastAsia="zh-CN"/>
        </w:rPr>
        <w:t>评审办法前附表</w:t>
      </w:r>
      <w:bookmarkEnd w:id="813"/>
      <w:bookmarkEnd w:id="814"/>
      <w:bookmarkEnd w:id="815"/>
      <w:bookmarkEnd w:id="816"/>
      <w:bookmarkEnd w:id="817"/>
      <w:bookmarkEnd w:id="818"/>
      <w:bookmarkEnd w:id="819"/>
      <w:bookmarkEnd w:id="820"/>
      <w:bookmarkEnd w:id="821"/>
      <w:bookmarkEnd w:id="822"/>
      <w:bookmarkEnd w:id="823"/>
      <w:bookmarkEnd w:id="824"/>
    </w:p>
    <w:tbl>
      <w:tblPr>
        <w:tblStyle w:val="24"/>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819"/>
        <w:gridCol w:w="2886"/>
        <w:gridCol w:w="5381"/>
      </w:tblGrid>
      <w:tr w14:paraId="3AE5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97" w:type="dxa"/>
            <w:gridSpan w:val="2"/>
            <w:vAlign w:val="center"/>
          </w:tcPr>
          <w:p w14:paraId="1FA58EA4">
            <w:pPr>
              <w:kinsoku/>
              <w:spacing w:line="400" w:lineRule="exact"/>
              <w:jc w:val="center"/>
              <w:textAlignment w:val="auto"/>
              <w:rPr>
                <w:rFonts w:ascii="宋体" w:hAnsi="宋体" w:eastAsia="宋体" w:cs="宋体"/>
                <w:color w:val="auto"/>
              </w:rPr>
            </w:pPr>
            <w:r>
              <w:rPr>
                <w:rFonts w:hint="eastAsia" w:ascii="宋体" w:hAnsi="宋体" w:eastAsia="宋体" w:cs="宋体"/>
                <w:color w:val="auto"/>
              </w:rPr>
              <w:t>条款号</w:t>
            </w:r>
          </w:p>
        </w:tc>
        <w:tc>
          <w:tcPr>
            <w:tcW w:w="2886" w:type="dxa"/>
            <w:vAlign w:val="center"/>
          </w:tcPr>
          <w:p w14:paraId="214EAABB">
            <w:pPr>
              <w:kinsoku/>
              <w:spacing w:line="400" w:lineRule="exact"/>
              <w:jc w:val="center"/>
              <w:textAlignment w:val="auto"/>
              <w:rPr>
                <w:rFonts w:ascii="宋体" w:hAnsi="宋体" w:eastAsia="宋体" w:cs="宋体"/>
                <w:color w:val="auto"/>
              </w:rPr>
            </w:pPr>
            <w:r>
              <w:rPr>
                <w:rFonts w:hint="eastAsia" w:ascii="宋体" w:hAnsi="宋体" w:eastAsia="宋体" w:cs="宋体"/>
                <w:color w:val="auto"/>
              </w:rPr>
              <w:t>评审因素</w:t>
            </w:r>
          </w:p>
        </w:tc>
        <w:tc>
          <w:tcPr>
            <w:tcW w:w="5381" w:type="dxa"/>
            <w:vAlign w:val="center"/>
          </w:tcPr>
          <w:p w14:paraId="78B24233">
            <w:pPr>
              <w:kinsoku/>
              <w:spacing w:line="400" w:lineRule="exact"/>
              <w:jc w:val="center"/>
              <w:textAlignment w:val="auto"/>
              <w:rPr>
                <w:rFonts w:ascii="宋体" w:hAnsi="宋体" w:eastAsia="宋体" w:cs="宋体"/>
                <w:color w:val="auto"/>
              </w:rPr>
            </w:pPr>
            <w:r>
              <w:rPr>
                <w:rFonts w:hint="eastAsia" w:ascii="宋体" w:hAnsi="宋体" w:eastAsia="宋体" w:cs="宋体"/>
                <w:color w:val="auto"/>
              </w:rPr>
              <w:t>评审标准</w:t>
            </w:r>
          </w:p>
        </w:tc>
      </w:tr>
      <w:tr w14:paraId="213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8" w:type="dxa"/>
            <w:vMerge w:val="restart"/>
            <w:vAlign w:val="center"/>
          </w:tcPr>
          <w:p w14:paraId="7B59D947">
            <w:pPr>
              <w:kinsoku/>
              <w:spacing w:line="400" w:lineRule="exact"/>
              <w:jc w:val="center"/>
              <w:textAlignment w:val="auto"/>
              <w:rPr>
                <w:rFonts w:ascii="宋体" w:hAnsi="宋体" w:eastAsia="宋体" w:cs="宋体"/>
                <w:color w:val="auto"/>
              </w:rPr>
            </w:pPr>
            <w:r>
              <w:rPr>
                <w:rFonts w:hint="eastAsia" w:ascii="宋体" w:hAnsi="宋体" w:eastAsia="宋体" w:cs="宋体"/>
                <w:color w:val="auto"/>
              </w:rPr>
              <w:t>2.1.1</w:t>
            </w:r>
          </w:p>
        </w:tc>
        <w:tc>
          <w:tcPr>
            <w:tcW w:w="819" w:type="dxa"/>
            <w:vMerge w:val="restart"/>
            <w:vAlign w:val="center"/>
          </w:tcPr>
          <w:p w14:paraId="0DD71222">
            <w:pPr>
              <w:kinsoku/>
              <w:spacing w:line="400" w:lineRule="exact"/>
              <w:jc w:val="center"/>
              <w:textAlignment w:val="auto"/>
              <w:rPr>
                <w:rFonts w:ascii="宋体" w:hAnsi="宋体" w:eastAsia="宋体" w:cs="宋体"/>
                <w:color w:val="auto"/>
              </w:rPr>
            </w:pPr>
            <w:r>
              <w:rPr>
                <w:rFonts w:hint="eastAsia" w:ascii="宋体" w:hAnsi="宋体" w:eastAsia="宋体" w:cs="宋体"/>
                <w:color w:val="auto"/>
              </w:rPr>
              <w:t>资格评审</w:t>
            </w:r>
          </w:p>
          <w:p w14:paraId="6AD97117">
            <w:pPr>
              <w:kinsoku/>
              <w:spacing w:line="400" w:lineRule="exact"/>
              <w:jc w:val="center"/>
              <w:textAlignment w:val="auto"/>
              <w:rPr>
                <w:rFonts w:ascii="宋体" w:hAnsi="宋体" w:eastAsia="宋体" w:cs="宋体"/>
                <w:color w:val="auto"/>
              </w:rPr>
            </w:pPr>
            <w:r>
              <w:rPr>
                <w:rFonts w:hint="eastAsia" w:ascii="宋体" w:hAnsi="宋体" w:eastAsia="宋体" w:cs="宋体"/>
                <w:color w:val="auto"/>
              </w:rPr>
              <w:t>标准</w:t>
            </w:r>
          </w:p>
        </w:tc>
        <w:tc>
          <w:tcPr>
            <w:tcW w:w="2886" w:type="dxa"/>
            <w:vAlign w:val="center"/>
          </w:tcPr>
          <w:p w14:paraId="20C5B972">
            <w:pPr>
              <w:kinsoku/>
              <w:spacing w:line="400" w:lineRule="exact"/>
              <w:jc w:val="center"/>
              <w:textAlignment w:val="auto"/>
              <w:rPr>
                <w:rFonts w:ascii="宋体" w:hAnsi="宋体" w:eastAsia="宋体" w:cs="宋体"/>
                <w:color w:val="auto"/>
                <w:lang w:eastAsia="zh-CN"/>
              </w:rPr>
            </w:pPr>
            <w:r>
              <w:rPr>
                <w:rFonts w:hint="eastAsia" w:ascii="宋体" w:hAnsi="宋体" w:eastAsia="宋体" w:cs="宋体"/>
                <w:color w:val="auto"/>
                <w:lang w:eastAsia="zh-CN"/>
              </w:rPr>
              <w:t>符合《中华人民共和国政府采购法》第22条规定</w:t>
            </w:r>
          </w:p>
        </w:tc>
        <w:tc>
          <w:tcPr>
            <w:tcW w:w="5381" w:type="dxa"/>
            <w:vAlign w:val="center"/>
          </w:tcPr>
          <w:p w14:paraId="2E7CE601">
            <w:pPr>
              <w:kinsoku/>
              <w:spacing w:line="400" w:lineRule="exact"/>
              <w:textAlignment w:val="auto"/>
              <w:rPr>
                <w:rFonts w:ascii="宋体" w:hAnsi="宋体" w:eastAsia="宋体" w:cs="宋体"/>
                <w:color w:val="auto"/>
                <w:lang w:eastAsia="zh-CN"/>
              </w:rPr>
            </w:pPr>
            <w:r>
              <w:rPr>
                <w:rFonts w:hint="eastAsia" w:ascii="宋体" w:hAnsi="宋体" w:eastAsia="宋体" w:cs="宋体"/>
                <w:color w:val="auto"/>
                <w:lang w:eastAsia="zh-CN"/>
              </w:rPr>
              <w:t>符合第二章“供应商须知”规定</w:t>
            </w:r>
          </w:p>
        </w:tc>
      </w:tr>
      <w:tr w14:paraId="3AAC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78" w:type="dxa"/>
            <w:vMerge w:val="continue"/>
            <w:vAlign w:val="center"/>
          </w:tcPr>
          <w:p w14:paraId="4CBD9126">
            <w:pPr>
              <w:kinsoku/>
              <w:spacing w:line="400" w:lineRule="exact"/>
              <w:ind w:firstLine="420"/>
              <w:jc w:val="center"/>
              <w:textAlignment w:val="auto"/>
              <w:rPr>
                <w:rFonts w:ascii="宋体" w:hAnsi="宋体" w:eastAsia="宋体" w:cs="宋体"/>
                <w:color w:val="auto"/>
                <w:lang w:eastAsia="zh-CN"/>
              </w:rPr>
            </w:pPr>
          </w:p>
        </w:tc>
        <w:tc>
          <w:tcPr>
            <w:tcW w:w="819" w:type="dxa"/>
            <w:vMerge w:val="continue"/>
            <w:vAlign w:val="center"/>
          </w:tcPr>
          <w:p w14:paraId="62C22B89">
            <w:pPr>
              <w:kinsoku/>
              <w:spacing w:line="400" w:lineRule="exact"/>
              <w:ind w:firstLine="420"/>
              <w:jc w:val="center"/>
              <w:textAlignment w:val="auto"/>
              <w:rPr>
                <w:rFonts w:ascii="宋体" w:hAnsi="宋体" w:eastAsia="宋体" w:cs="宋体"/>
                <w:color w:val="auto"/>
                <w:lang w:eastAsia="zh-CN"/>
              </w:rPr>
            </w:pPr>
          </w:p>
        </w:tc>
        <w:tc>
          <w:tcPr>
            <w:tcW w:w="2886" w:type="dxa"/>
            <w:vAlign w:val="center"/>
          </w:tcPr>
          <w:p w14:paraId="772E2E24">
            <w:pPr>
              <w:kinsoku/>
              <w:spacing w:line="400" w:lineRule="exact"/>
              <w:ind w:right="105" w:rightChars="50"/>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响应人企业类型</w:t>
            </w:r>
          </w:p>
        </w:tc>
        <w:tc>
          <w:tcPr>
            <w:tcW w:w="5381" w:type="dxa"/>
            <w:vAlign w:val="center"/>
          </w:tcPr>
          <w:p w14:paraId="59B8A9DC">
            <w:pPr>
              <w:kinsoku/>
              <w:spacing w:line="400" w:lineRule="exact"/>
              <w:ind w:right="105" w:rightChars="50"/>
              <w:textAlignment w:val="auto"/>
              <w:rPr>
                <w:rFonts w:ascii="宋体" w:hAnsi="宋体" w:eastAsia="宋体" w:cs="宋体"/>
                <w:color w:val="auto"/>
                <w:lang w:eastAsia="zh-CN"/>
              </w:rPr>
            </w:pPr>
            <w:r>
              <w:rPr>
                <w:rFonts w:hint="eastAsia" w:ascii="宋体" w:hAnsi="宋体" w:eastAsia="宋体" w:cs="宋体"/>
                <w:color w:val="auto"/>
                <w:lang w:eastAsia="zh-CN"/>
              </w:rPr>
              <w:t>符合第二章“供应商须知”规定</w:t>
            </w:r>
          </w:p>
        </w:tc>
      </w:tr>
      <w:tr w14:paraId="2F2D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8" w:type="dxa"/>
            <w:vMerge w:val="continue"/>
            <w:vAlign w:val="center"/>
          </w:tcPr>
          <w:p w14:paraId="15290715">
            <w:pPr>
              <w:kinsoku/>
              <w:spacing w:line="400" w:lineRule="exact"/>
              <w:ind w:firstLine="420"/>
              <w:jc w:val="center"/>
              <w:textAlignment w:val="auto"/>
              <w:rPr>
                <w:rFonts w:ascii="宋体" w:hAnsi="宋体" w:eastAsia="宋体" w:cs="宋体"/>
                <w:color w:val="auto"/>
                <w:lang w:eastAsia="zh-CN"/>
              </w:rPr>
            </w:pPr>
          </w:p>
        </w:tc>
        <w:tc>
          <w:tcPr>
            <w:tcW w:w="819" w:type="dxa"/>
            <w:vMerge w:val="continue"/>
            <w:vAlign w:val="center"/>
          </w:tcPr>
          <w:p w14:paraId="1F182C0C">
            <w:pPr>
              <w:kinsoku/>
              <w:spacing w:line="400" w:lineRule="exact"/>
              <w:ind w:firstLine="420"/>
              <w:jc w:val="center"/>
              <w:textAlignment w:val="auto"/>
              <w:rPr>
                <w:rFonts w:ascii="宋体" w:hAnsi="宋体" w:eastAsia="宋体" w:cs="宋体"/>
                <w:color w:val="auto"/>
                <w:lang w:eastAsia="zh-CN"/>
              </w:rPr>
            </w:pPr>
          </w:p>
        </w:tc>
        <w:tc>
          <w:tcPr>
            <w:tcW w:w="2886" w:type="dxa"/>
            <w:vAlign w:val="center"/>
          </w:tcPr>
          <w:p w14:paraId="0F4E2A12">
            <w:pPr>
              <w:kinsoku/>
              <w:spacing w:line="400" w:lineRule="exact"/>
              <w:jc w:val="center"/>
              <w:textAlignment w:val="auto"/>
              <w:rPr>
                <w:rFonts w:ascii="宋体" w:hAnsi="宋体" w:eastAsia="宋体" w:cs="宋体"/>
                <w:color w:val="auto"/>
                <w:lang w:eastAsia="zh-CN"/>
              </w:rPr>
            </w:pPr>
            <w:r>
              <w:rPr>
                <w:rFonts w:hint="eastAsia" w:ascii="宋体" w:hAnsi="宋体" w:eastAsia="宋体" w:cs="宋体"/>
                <w:color w:val="auto"/>
                <w:lang w:eastAsia="zh-CN"/>
              </w:rPr>
              <w:t>具有独立承担民事责任的能力</w:t>
            </w:r>
          </w:p>
        </w:tc>
        <w:tc>
          <w:tcPr>
            <w:tcW w:w="5381" w:type="dxa"/>
            <w:vAlign w:val="center"/>
          </w:tcPr>
          <w:p w14:paraId="7A8BBA39">
            <w:pPr>
              <w:kinsoku/>
              <w:spacing w:line="400" w:lineRule="exact"/>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符合第二章“供应商须知”规定</w:t>
            </w:r>
          </w:p>
        </w:tc>
      </w:tr>
      <w:tr w14:paraId="373F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8" w:type="dxa"/>
            <w:vMerge w:val="continue"/>
            <w:vAlign w:val="center"/>
          </w:tcPr>
          <w:p w14:paraId="393C7D44">
            <w:pPr>
              <w:kinsoku/>
              <w:spacing w:line="400" w:lineRule="exact"/>
              <w:ind w:firstLine="420"/>
              <w:jc w:val="center"/>
              <w:textAlignment w:val="auto"/>
              <w:rPr>
                <w:rFonts w:ascii="宋体" w:hAnsi="宋体" w:eastAsia="宋体" w:cs="宋体"/>
                <w:color w:val="auto"/>
                <w:lang w:eastAsia="zh-CN"/>
              </w:rPr>
            </w:pPr>
          </w:p>
        </w:tc>
        <w:tc>
          <w:tcPr>
            <w:tcW w:w="819" w:type="dxa"/>
            <w:vMerge w:val="continue"/>
            <w:vAlign w:val="center"/>
          </w:tcPr>
          <w:p w14:paraId="67F4602E">
            <w:pPr>
              <w:kinsoku/>
              <w:spacing w:line="400" w:lineRule="exact"/>
              <w:ind w:firstLine="420"/>
              <w:jc w:val="center"/>
              <w:textAlignment w:val="auto"/>
              <w:rPr>
                <w:rFonts w:ascii="宋体" w:hAnsi="宋体" w:eastAsia="宋体" w:cs="宋体"/>
                <w:color w:val="auto"/>
                <w:lang w:eastAsia="zh-CN"/>
              </w:rPr>
            </w:pPr>
          </w:p>
        </w:tc>
        <w:tc>
          <w:tcPr>
            <w:tcW w:w="2886" w:type="dxa"/>
            <w:vAlign w:val="center"/>
          </w:tcPr>
          <w:p w14:paraId="15558AB3">
            <w:pPr>
              <w:kinsoku/>
              <w:spacing w:line="400" w:lineRule="exact"/>
              <w:jc w:val="center"/>
              <w:textAlignment w:val="auto"/>
              <w:rPr>
                <w:rFonts w:ascii="宋体" w:hAnsi="宋体" w:eastAsia="宋体" w:cs="宋体"/>
                <w:color w:val="auto"/>
                <w:lang w:eastAsia="zh-CN"/>
              </w:rPr>
            </w:pPr>
            <w:r>
              <w:rPr>
                <w:rFonts w:hint="eastAsia" w:ascii="宋体" w:hAnsi="宋体" w:eastAsia="宋体" w:cs="宋体"/>
                <w:color w:val="auto"/>
                <w:lang w:eastAsia="zh-CN"/>
              </w:rPr>
              <w:t>供应商应具有良好的商业信誉和健全的财务会计制度</w:t>
            </w:r>
          </w:p>
        </w:tc>
        <w:tc>
          <w:tcPr>
            <w:tcW w:w="5381" w:type="dxa"/>
            <w:vAlign w:val="center"/>
          </w:tcPr>
          <w:p w14:paraId="4C33F755">
            <w:pPr>
              <w:kinsoku/>
              <w:spacing w:line="400" w:lineRule="exact"/>
              <w:textAlignment w:val="auto"/>
              <w:rPr>
                <w:rFonts w:ascii="宋体" w:hAnsi="宋体" w:eastAsia="宋体" w:cs="宋体"/>
                <w:color w:val="auto"/>
                <w:lang w:eastAsia="zh-CN"/>
              </w:rPr>
            </w:pPr>
            <w:r>
              <w:rPr>
                <w:rFonts w:hint="eastAsia" w:ascii="宋体" w:hAnsi="宋体" w:eastAsia="宋体" w:cs="宋体"/>
                <w:color w:val="auto"/>
                <w:lang w:eastAsia="zh-CN"/>
              </w:rPr>
              <w:t>符合第二章“供应商须知”规定</w:t>
            </w:r>
          </w:p>
        </w:tc>
      </w:tr>
      <w:tr w14:paraId="52D0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8" w:type="dxa"/>
            <w:vMerge w:val="continue"/>
            <w:vAlign w:val="center"/>
          </w:tcPr>
          <w:p w14:paraId="5777A7F5">
            <w:pPr>
              <w:kinsoku/>
              <w:spacing w:line="400" w:lineRule="exact"/>
              <w:ind w:firstLine="420"/>
              <w:jc w:val="center"/>
              <w:textAlignment w:val="auto"/>
              <w:rPr>
                <w:rFonts w:ascii="宋体" w:hAnsi="宋体" w:eastAsia="宋体" w:cs="宋体"/>
                <w:color w:val="auto"/>
                <w:lang w:eastAsia="zh-CN"/>
              </w:rPr>
            </w:pPr>
          </w:p>
        </w:tc>
        <w:tc>
          <w:tcPr>
            <w:tcW w:w="819" w:type="dxa"/>
            <w:vMerge w:val="continue"/>
            <w:vAlign w:val="center"/>
          </w:tcPr>
          <w:p w14:paraId="23EBF2B7">
            <w:pPr>
              <w:kinsoku/>
              <w:spacing w:line="400" w:lineRule="exact"/>
              <w:ind w:firstLine="420"/>
              <w:jc w:val="center"/>
              <w:textAlignment w:val="auto"/>
              <w:rPr>
                <w:rFonts w:ascii="宋体" w:hAnsi="宋体" w:eastAsia="宋体" w:cs="宋体"/>
                <w:color w:val="auto"/>
                <w:lang w:eastAsia="zh-CN"/>
              </w:rPr>
            </w:pPr>
          </w:p>
        </w:tc>
        <w:tc>
          <w:tcPr>
            <w:tcW w:w="2886" w:type="dxa"/>
            <w:vAlign w:val="center"/>
          </w:tcPr>
          <w:p w14:paraId="33CB6549">
            <w:pPr>
              <w:kinsoku/>
              <w:spacing w:line="400" w:lineRule="exact"/>
              <w:jc w:val="center"/>
              <w:textAlignment w:val="auto"/>
              <w:rPr>
                <w:rFonts w:ascii="宋体" w:hAnsi="宋体" w:eastAsia="宋体" w:cs="宋体"/>
                <w:color w:val="auto"/>
                <w:lang w:eastAsia="zh-CN"/>
              </w:rPr>
            </w:pPr>
            <w:r>
              <w:rPr>
                <w:rFonts w:hint="eastAsia" w:ascii="宋体" w:hAnsi="宋体" w:eastAsia="宋体" w:cs="宋体"/>
                <w:color w:val="auto"/>
                <w:lang w:eastAsia="zh-CN"/>
              </w:rPr>
              <w:t>供应商依法缴纳税收和社会保障资金的良好记录</w:t>
            </w:r>
          </w:p>
        </w:tc>
        <w:tc>
          <w:tcPr>
            <w:tcW w:w="5381" w:type="dxa"/>
            <w:vAlign w:val="center"/>
          </w:tcPr>
          <w:p w14:paraId="6A9CFFD0">
            <w:pPr>
              <w:kinsoku/>
              <w:spacing w:line="400" w:lineRule="exact"/>
              <w:textAlignment w:val="auto"/>
              <w:rPr>
                <w:rFonts w:ascii="宋体" w:hAnsi="宋体" w:eastAsia="宋体" w:cs="宋体"/>
                <w:color w:val="auto"/>
                <w:lang w:eastAsia="zh-CN"/>
              </w:rPr>
            </w:pPr>
            <w:r>
              <w:rPr>
                <w:rFonts w:hint="eastAsia" w:ascii="宋体" w:hAnsi="宋体" w:eastAsia="宋体" w:cs="宋体"/>
                <w:color w:val="auto"/>
                <w:lang w:eastAsia="zh-CN"/>
              </w:rPr>
              <w:t>符合第二章“供应商须知”规定</w:t>
            </w:r>
          </w:p>
        </w:tc>
      </w:tr>
      <w:tr w14:paraId="59FB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8" w:type="dxa"/>
            <w:vMerge w:val="continue"/>
            <w:vAlign w:val="center"/>
          </w:tcPr>
          <w:p w14:paraId="1B1E7024">
            <w:pPr>
              <w:kinsoku/>
              <w:spacing w:line="400" w:lineRule="exact"/>
              <w:ind w:firstLine="420"/>
              <w:jc w:val="center"/>
              <w:textAlignment w:val="auto"/>
              <w:rPr>
                <w:rFonts w:ascii="宋体" w:hAnsi="宋体" w:eastAsia="宋体" w:cs="宋体"/>
                <w:color w:val="auto"/>
                <w:lang w:eastAsia="zh-CN"/>
              </w:rPr>
            </w:pPr>
          </w:p>
        </w:tc>
        <w:tc>
          <w:tcPr>
            <w:tcW w:w="819" w:type="dxa"/>
            <w:vMerge w:val="continue"/>
            <w:vAlign w:val="center"/>
          </w:tcPr>
          <w:p w14:paraId="11E5C8D6">
            <w:pPr>
              <w:kinsoku/>
              <w:spacing w:line="400" w:lineRule="exact"/>
              <w:ind w:firstLine="420"/>
              <w:jc w:val="center"/>
              <w:textAlignment w:val="auto"/>
              <w:rPr>
                <w:rFonts w:ascii="宋体" w:hAnsi="宋体" w:eastAsia="宋体" w:cs="宋体"/>
                <w:color w:val="auto"/>
                <w:lang w:eastAsia="zh-CN"/>
              </w:rPr>
            </w:pPr>
          </w:p>
        </w:tc>
        <w:tc>
          <w:tcPr>
            <w:tcW w:w="2886" w:type="dxa"/>
            <w:vAlign w:val="center"/>
          </w:tcPr>
          <w:p w14:paraId="107389D4">
            <w:pPr>
              <w:kinsoku/>
              <w:spacing w:line="400" w:lineRule="exact"/>
              <w:jc w:val="center"/>
              <w:textAlignment w:val="auto"/>
              <w:rPr>
                <w:rFonts w:ascii="宋体" w:hAnsi="宋体" w:eastAsia="宋体" w:cs="宋体"/>
                <w:color w:val="auto"/>
                <w:lang w:eastAsia="zh-CN"/>
              </w:rPr>
            </w:pPr>
            <w:r>
              <w:rPr>
                <w:rFonts w:hint="eastAsia" w:ascii="宋体" w:hAnsi="宋体" w:eastAsia="宋体" w:cs="宋体"/>
                <w:color w:val="auto"/>
                <w:lang w:eastAsia="zh-CN"/>
              </w:rPr>
              <w:t>供应商应具有履行合同必备的设备和技术能力</w:t>
            </w:r>
          </w:p>
        </w:tc>
        <w:tc>
          <w:tcPr>
            <w:tcW w:w="5381" w:type="dxa"/>
            <w:vAlign w:val="center"/>
          </w:tcPr>
          <w:p w14:paraId="64F4BCC7">
            <w:pPr>
              <w:kinsoku/>
              <w:spacing w:line="400" w:lineRule="exact"/>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符合第二章“供应商须知”规定</w:t>
            </w:r>
          </w:p>
        </w:tc>
      </w:tr>
      <w:tr w14:paraId="103C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8" w:type="dxa"/>
            <w:vMerge w:val="continue"/>
            <w:vAlign w:val="center"/>
          </w:tcPr>
          <w:p w14:paraId="260BC7D2">
            <w:pPr>
              <w:kinsoku/>
              <w:spacing w:line="400" w:lineRule="exact"/>
              <w:ind w:firstLine="420"/>
              <w:jc w:val="center"/>
              <w:textAlignment w:val="auto"/>
              <w:rPr>
                <w:rFonts w:ascii="宋体" w:hAnsi="宋体" w:eastAsia="宋体" w:cs="宋体"/>
                <w:color w:val="auto"/>
                <w:lang w:eastAsia="zh-CN"/>
              </w:rPr>
            </w:pPr>
          </w:p>
        </w:tc>
        <w:tc>
          <w:tcPr>
            <w:tcW w:w="819" w:type="dxa"/>
            <w:vMerge w:val="continue"/>
            <w:vAlign w:val="center"/>
          </w:tcPr>
          <w:p w14:paraId="77B72D1F">
            <w:pPr>
              <w:kinsoku/>
              <w:spacing w:line="400" w:lineRule="exact"/>
              <w:ind w:firstLine="420"/>
              <w:jc w:val="center"/>
              <w:textAlignment w:val="auto"/>
              <w:rPr>
                <w:rFonts w:ascii="宋体" w:hAnsi="宋体" w:eastAsia="宋体" w:cs="宋体"/>
                <w:color w:val="auto"/>
                <w:lang w:eastAsia="zh-CN"/>
              </w:rPr>
            </w:pPr>
          </w:p>
        </w:tc>
        <w:tc>
          <w:tcPr>
            <w:tcW w:w="2886" w:type="dxa"/>
            <w:vAlign w:val="center"/>
          </w:tcPr>
          <w:p w14:paraId="0465AC90">
            <w:pPr>
              <w:kinsoku/>
              <w:spacing w:line="400" w:lineRule="exact"/>
              <w:jc w:val="center"/>
              <w:textAlignment w:val="auto"/>
              <w:rPr>
                <w:rFonts w:ascii="宋体" w:hAnsi="宋体" w:eastAsia="宋体" w:cs="宋体"/>
                <w:color w:val="auto"/>
                <w:lang w:eastAsia="zh-CN"/>
              </w:rPr>
            </w:pPr>
            <w:r>
              <w:rPr>
                <w:rFonts w:hint="eastAsia" w:ascii="宋体" w:hAnsi="宋体" w:eastAsia="宋体" w:cs="宋体"/>
                <w:color w:val="auto"/>
                <w:lang w:eastAsia="zh-CN"/>
              </w:rPr>
              <w:t>供应商参加政府采购活动前三年内，在经营活动中没有重大违法记录</w:t>
            </w:r>
          </w:p>
        </w:tc>
        <w:tc>
          <w:tcPr>
            <w:tcW w:w="5381" w:type="dxa"/>
            <w:vAlign w:val="center"/>
          </w:tcPr>
          <w:p w14:paraId="457CEDF1">
            <w:pPr>
              <w:kinsoku/>
              <w:spacing w:line="400" w:lineRule="exact"/>
              <w:textAlignment w:val="auto"/>
              <w:rPr>
                <w:rFonts w:hint="default" w:ascii="宋体" w:hAnsi="宋体" w:eastAsia="宋体" w:cs="宋体"/>
                <w:color w:val="auto"/>
                <w:lang w:val="en-US" w:eastAsia="zh-CN"/>
              </w:rPr>
            </w:pPr>
            <w:r>
              <w:rPr>
                <w:rFonts w:hint="eastAsia" w:ascii="宋体" w:hAnsi="宋体" w:eastAsia="宋体" w:cs="宋体"/>
                <w:color w:val="auto"/>
                <w:lang w:eastAsia="zh-CN"/>
              </w:rPr>
              <w:t>符合第二章“供应商须知”规定</w:t>
            </w:r>
          </w:p>
        </w:tc>
      </w:tr>
      <w:tr w14:paraId="2B4E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8" w:type="dxa"/>
            <w:vMerge w:val="continue"/>
            <w:vAlign w:val="center"/>
          </w:tcPr>
          <w:p w14:paraId="2B319EE9">
            <w:pPr>
              <w:kinsoku/>
              <w:spacing w:line="400" w:lineRule="exact"/>
              <w:ind w:firstLine="420"/>
              <w:jc w:val="center"/>
              <w:textAlignment w:val="auto"/>
              <w:rPr>
                <w:rFonts w:ascii="宋体" w:hAnsi="宋体" w:eastAsia="宋体" w:cs="宋体"/>
                <w:color w:val="auto"/>
                <w:lang w:eastAsia="zh-CN"/>
              </w:rPr>
            </w:pPr>
          </w:p>
        </w:tc>
        <w:tc>
          <w:tcPr>
            <w:tcW w:w="819" w:type="dxa"/>
            <w:vMerge w:val="continue"/>
            <w:vAlign w:val="center"/>
          </w:tcPr>
          <w:p w14:paraId="7860FA02">
            <w:pPr>
              <w:kinsoku/>
              <w:spacing w:line="400" w:lineRule="exact"/>
              <w:ind w:firstLine="420"/>
              <w:jc w:val="center"/>
              <w:textAlignment w:val="auto"/>
              <w:rPr>
                <w:rFonts w:ascii="宋体" w:hAnsi="宋体" w:eastAsia="宋体" w:cs="宋体"/>
                <w:color w:val="auto"/>
                <w:lang w:eastAsia="zh-CN"/>
              </w:rPr>
            </w:pPr>
          </w:p>
        </w:tc>
        <w:tc>
          <w:tcPr>
            <w:tcW w:w="2886" w:type="dxa"/>
            <w:vAlign w:val="center"/>
          </w:tcPr>
          <w:p w14:paraId="27794C76">
            <w:pPr>
              <w:kinsoku/>
              <w:spacing w:line="400" w:lineRule="exact"/>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其他要求</w:t>
            </w:r>
          </w:p>
        </w:tc>
        <w:tc>
          <w:tcPr>
            <w:tcW w:w="5381" w:type="dxa"/>
            <w:vAlign w:val="center"/>
          </w:tcPr>
          <w:p w14:paraId="0C29882E">
            <w:pPr>
              <w:kinsoku/>
              <w:spacing w:line="400" w:lineRule="exact"/>
              <w:textAlignment w:val="auto"/>
              <w:rPr>
                <w:rFonts w:ascii="宋体" w:hAnsi="宋体" w:eastAsia="宋体" w:cs="宋体"/>
                <w:color w:val="auto"/>
                <w:lang w:eastAsia="zh-CN"/>
              </w:rPr>
            </w:pPr>
            <w:r>
              <w:rPr>
                <w:rFonts w:hint="eastAsia" w:ascii="宋体" w:hAnsi="宋体" w:eastAsia="宋体" w:cs="宋体"/>
                <w:color w:val="auto"/>
                <w:lang w:eastAsia="zh-CN"/>
              </w:rPr>
              <w:t>符合第二章“供应商须知”规定</w:t>
            </w:r>
          </w:p>
        </w:tc>
      </w:tr>
      <w:tr w14:paraId="407A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8" w:type="dxa"/>
            <w:vMerge w:val="restart"/>
            <w:vAlign w:val="top"/>
          </w:tcPr>
          <w:p w14:paraId="1445F5EE">
            <w:pPr>
              <w:spacing w:line="277" w:lineRule="auto"/>
              <w:rPr>
                <w:rFonts w:ascii="Arial"/>
                <w:sz w:val="21"/>
              </w:rPr>
            </w:pPr>
          </w:p>
          <w:p w14:paraId="1845C798">
            <w:pPr>
              <w:spacing w:line="277" w:lineRule="auto"/>
              <w:rPr>
                <w:rFonts w:ascii="Arial"/>
                <w:sz w:val="21"/>
              </w:rPr>
            </w:pPr>
          </w:p>
          <w:p w14:paraId="219CD6FF">
            <w:pPr>
              <w:spacing w:line="278" w:lineRule="auto"/>
              <w:rPr>
                <w:rFonts w:ascii="Arial"/>
                <w:sz w:val="21"/>
              </w:rPr>
            </w:pPr>
          </w:p>
          <w:p w14:paraId="6A4FDB31">
            <w:pPr>
              <w:spacing w:line="278" w:lineRule="auto"/>
              <w:rPr>
                <w:rFonts w:ascii="Arial"/>
                <w:sz w:val="21"/>
              </w:rPr>
            </w:pPr>
          </w:p>
          <w:p w14:paraId="2E10A606">
            <w:pPr>
              <w:pStyle w:val="38"/>
              <w:spacing w:before="78" w:line="184" w:lineRule="auto"/>
              <w:ind w:left="250"/>
              <w:rPr>
                <w:spacing w:val="-10"/>
              </w:rPr>
            </w:pPr>
          </w:p>
          <w:p w14:paraId="457D59F8">
            <w:pPr>
              <w:pStyle w:val="38"/>
              <w:spacing w:before="78" w:line="184" w:lineRule="auto"/>
              <w:rPr>
                <w:rFonts w:hint="default"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2.12</w:t>
            </w:r>
          </w:p>
          <w:p w14:paraId="478B604E">
            <w:pPr>
              <w:pStyle w:val="38"/>
              <w:spacing w:before="78" w:line="184" w:lineRule="auto"/>
              <w:ind w:left="250"/>
              <w:rPr>
                <w:spacing w:val="-10"/>
              </w:rPr>
            </w:pPr>
          </w:p>
          <w:p w14:paraId="22B9556A">
            <w:pPr>
              <w:pStyle w:val="38"/>
              <w:spacing w:before="78" w:line="184" w:lineRule="auto"/>
              <w:ind w:left="250"/>
              <w:rPr>
                <w:spacing w:val="-10"/>
              </w:rPr>
            </w:pPr>
          </w:p>
          <w:p w14:paraId="1845C1A7">
            <w:pPr>
              <w:pStyle w:val="38"/>
              <w:spacing w:before="78" w:line="184" w:lineRule="auto"/>
              <w:ind w:left="250" w:leftChars="0"/>
              <w:rPr>
                <w:rFonts w:ascii="宋体" w:hAnsi="宋体" w:eastAsia="宋体" w:cs="宋体"/>
                <w:color w:val="auto"/>
              </w:rPr>
            </w:pPr>
          </w:p>
        </w:tc>
        <w:tc>
          <w:tcPr>
            <w:tcW w:w="819" w:type="dxa"/>
            <w:vMerge w:val="restart"/>
            <w:vAlign w:val="top"/>
          </w:tcPr>
          <w:p w14:paraId="18BB1346">
            <w:pPr>
              <w:spacing w:line="290" w:lineRule="auto"/>
              <w:rPr>
                <w:rFonts w:ascii="宋体" w:hAnsi="宋体" w:eastAsia="宋体" w:cs="宋体"/>
                <w:snapToGrid w:val="0"/>
                <w:color w:val="000000"/>
                <w:spacing w:val="-7"/>
                <w:sz w:val="24"/>
                <w:szCs w:val="24"/>
                <w:lang w:val="en-US" w:eastAsia="en-US" w:bidi="ar-SA"/>
              </w:rPr>
            </w:pPr>
          </w:p>
          <w:p w14:paraId="3FEE9821">
            <w:pPr>
              <w:spacing w:line="290" w:lineRule="auto"/>
              <w:rPr>
                <w:rFonts w:ascii="宋体" w:hAnsi="宋体" w:eastAsia="宋体" w:cs="宋体"/>
                <w:snapToGrid w:val="0"/>
                <w:color w:val="000000"/>
                <w:spacing w:val="-7"/>
                <w:sz w:val="24"/>
                <w:szCs w:val="24"/>
                <w:lang w:val="en-US" w:eastAsia="en-US" w:bidi="ar-SA"/>
              </w:rPr>
            </w:pPr>
          </w:p>
          <w:p w14:paraId="651C82F0">
            <w:pPr>
              <w:pStyle w:val="38"/>
              <w:spacing w:before="78" w:line="238" w:lineRule="auto"/>
              <w:ind w:left="297" w:right="278" w:firstLine="9"/>
              <w:jc w:val="both"/>
              <w:rPr>
                <w:rFonts w:hint="eastAsia" w:ascii="宋体" w:hAnsi="宋体" w:eastAsia="宋体" w:cs="宋体"/>
                <w:snapToGrid w:val="0"/>
                <w:color w:val="000000"/>
                <w:spacing w:val="-7"/>
                <w:sz w:val="24"/>
                <w:szCs w:val="24"/>
                <w:lang w:val="en-US" w:eastAsia="zh-CN" w:bidi="ar-SA"/>
              </w:rPr>
            </w:pPr>
          </w:p>
          <w:p w14:paraId="616DDD9B">
            <w:pPr>
              <w:pStyle w:val="38"/>
              <w:spacing w:before="78" w:line="238" w:lineRule="auto"/>
              <w:ind w:left="297" w:right="278" w:firstLine="9"/>
              <w:jc w:val="both"/>
              <w:rPr>
                <w:rFonts w:hint="eastAsia" w:ascii="宋体" w:hAnsi="宋体" w:eastAsia="宋体" w:cs="宋体"/>
                <w:snapToGrid w:val="0"/>
                <w:color w:val="000000"/>
                <w:spacing w:val="-7"/>
                <w:sz w:val="24"/>
                <w:szCs w:val="24"/>
                <w:lang w:val="en-US" w:eastAsia="zh-CN" w:bidi="ar-SA"/>
              </w:rPr>
            </w:pPr>
          </w:p>
          <w:p w14:paraId="0AFB9497">
            <w:pPr>
              <w:pStyle w:val="38"/>
              <w:spacing w:before="78" w:line="238" w:lineRule="auto"/>
              <w:ind w:left="297" w:right="278" w:firstLine="9"/>
              <w:jc w:val="both"/>
              <w:rPr>
                <w:rFonts w:hint="eastAsia" w:ascii="宋体" w:hAnsi="宋体" w:eastAsia="宋体" w:cs="宋体"/>
                <w:snapToGrid w:val="0"/>
                <w:color w:val="000000"/>
                <w:spacing w:val="-7"/>
                <w:sz w:val="24"/>
                <w:szCs w:val="24"/>
                <w:lang w:val="en-US" w:eastAsia="zh-CN" w:bidi="ar-SA"/>
              </w:rPr>
            </w:pPr>
          </w:p>
          <w:p w14:paraId="30183592">
            <w:pPr>
              <w:pStyle w:val="38"/>
              <w:spacing w:before="78" w:line="238" w:lineRule="auto"/>
              <w:ind w:left="297" w:right="278" w:firstLine="9"/>
              <w:jc w:val="both"/>
              <w:rPr>
                <w:rFonts w:hint="eastAsia" w:ascii="宋体" w:hAnsi="宋体" w:eastAsia="宋体" w:cs="宋体"/>
                <w:snapToGrid w:val="0"/>
                <w:color w:val="000000"/>
                <w:spacing w:val="-7"/>
                <w:sz w:val="24"/>
                <w:szCs w:val="24"/>
                <w:lang w:val="en-US" w:eastAsia="zh-CN" w:bidi="ar-SA"/>
              </w:rPr>
            </w:pPr>
          </w:p>
          <w:p w14:paraId="4B617BA1">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en-US" w:bidi="ar-SA"/>
              </w:rPr>
            </w:pPr>
            <w:r>
              <w:rPr>
                <w:rFonts w:hint="eastAsia" w:ascii="宋体" w:hAnsi="宋体" w:eastAsia="宋体" w:cs="宋体"/>
                <w:snapToGrid w:val="0"/>
                <w:color w:val="000000"/>
                <w:spacing w:val="-7"/>
                <w:sz w:val="24"/>
                <w:szCs w:val="24"/>
                <w:lang w:val="en-US" w:eastAsia="zh-CN" w:bidi="ar-SA"/>
              </w:rPr>
              <w:t>符合</w:t>
            </w:r>
            <w:r>
              <w:rPr>
                <w:rFonts w:ascii="宋体" w:hAnsi="宋体" w:eastAsia="宋体" w:cs="宋体"/>
                <w:snapToGrid w:val="0"/>
                <w:color w:val="000000"/>
                <w:spacing w:val="-7"/>
                <w:sz w:val="24"/>
                <w:szCs w:val="24"/>
                <w:lang w:val="en-US" w:eastAsia="en-US" w:bidi="ar-SA"/>
              </w:rPr>
              <w:t xml:space="preserve"> 性评 审标准</w:t>
            </w:r>
          </w:p>
        </w:tc>
        <w:tc>
          <w:tcPr>
            <w:tcW w:w="2886" w:type="dxa"/>
            <w:vAlign w:val="top"/>
          </w:tcPr>
          <w:p w14:paraId="3A9AE186">
            <w:pPr>
              <w:pStyle w:val="38"/>
              <w:spacing w:before="202" w:line="221" w:lineRule="auto"/>
              <w:jc w:val="center"/>
              <w:rPr>
                <w:rFonts w:ascii="宋体" w:hAnsi="宋体" w:eastAsia="宋体" w:cs="宋体"/>
                <w:snapToGrid w:val="0"/>
                <w:color w:val="000000"/>
                <w:spacing w:val="-7"/>
                <w:sz w:val="24"/>
                <w:szCs w:val="24"/>
                <w:lang w:val="en-US" w:eastAsia="zh-CN" w:bidi="ar-SA"/>
              </w:rPr>
            </w:pPr>
            <w:r>
              <w:rPr>
                <w:rFonts w:ascii="宋体" w:hAnsi="宋体" w:eastAsia="宋体" w:cs="宋体"/>
                <w:snapToGrid w:val="0"/>
                <w:color w:val="000000"/>
                <w:spacing w:val="-7"/>
                <w:sz w:val="24"/>
                <w:szCs w:val="24"/>
                <w:lang w:val="en-US" w:eastAsia="en-US" w:bidi="ar-SA"/>
              </w:rPr>
              <w:t>响应人名称</w:t>
            </w:r>
          </w:p>
        </w:tc>
        <w:tc>
          <w:tcPr>
            <w:tcW w:w="5381" w:type="dxa"/>
            <w:vAlign w:val="top"/>
          </w:tcPr>
          <w:p w14:paraId="0DE03EEF">
            <w:pPr>
              <w:pStyle w:val="38"/>
              <w:spacing w:before="202" w:line="219" w:lineRule="auto"/>
              <w:ind w:left="126" w:leftChars="0"/>
              <w:rPr>
                <w:rFonts w:ascii="宋体" w:hAnsi="宋体" w:eastAsia="宋体" w:cs="宋体"/>
                <w:color w:val="auto"/>
                <w:kern w:val="2"/>
                <w:lang w:eastAsia="zh-CN"/>
              </w:rPr>
            </w:pPr>
            <w:r>
              <w:rPr>
                <w:spacing w:val="-3"/>
              </w:rPr>
              <w:t>与营业执照一致</w:t>
            </w:r>
          </w:p>
        </w:tc>
      </w:tr>
      <w:tr w14:paraId="17E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8" w:type="dxa"/>
            <w:vMerge w:val="continue"/>
            <w:vAlign w:val="top"/>
          </w:tcPr>
          <w:p w14:paraId="64BE51E2">
            <w:pPr>
              <w:pStyle w:val="38"/>
              <w:spacing w:before="78" w:line="184" w:lineRule="auto"/>
              <w:ind w:left="250" w:leftChars="0"/>
              <w:rPr>
                <w:rFonts w:ascii="宋体" w:hAnsi="宋体" w:eastAsia="宋体" w:cs="宋体"/>
                <w:color w:val="auto"/>
              </w:rPr>
            </w:pPr>
          </w:p>
        </w:tc>
        <w:tc>
          <w:tcPr>
            <w:tcW w:w="819" w:type="dxa"/>
            <w:vMerge w:val="continue"/>
            <w:vAlign w:val="top"/>
          </w:tcPr>
          <w:p w14:paraId="7B6229E6">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en-US" w:bidi="ar-SA"/>
              </w:rPr>
            </w:pPr>
          </w:p>
        </w:tc>
        <w:tc>
          <w:tcPr>
            <w:tcW w:w="2886" w:type="dxa"/>
            <w:vAlign w:val="top"/>
          </w:tcPr>
          <w:p w14:paraId="41F5A2A6">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en-US" w:bidi="ar-SA"/>
              </w:rPr>
            </w:pPr>
            <w:r>
              <w:rPr>
                <w:rFonts w:ascii="宋体" w:hAnsi="宋体" w:eastAsia="宋体" w:cs="宋体"/>
                <w:snapToGrid w:val="0"/>
                <w:color w:val="000000"/>
                <w:spacing w:val="-7"/>
                <w:sz w:val="24"/>
                <w:szCs w:val="24"/>
                <w:lang w:val="en-US" w:eastAsia="en-US" w:bidi="ar-SA"/>
              </w:rPr>
              <w:t>竞争性磋商响应文件签字盖章</w:t>
            </w:r>
          </w:p>
        </w:tc>
        <w:tc>
          <w:tcPr>
            <w:tcW w:w="5381" w:type="dxa"/>
            <w:vAlign w:val="top"/>
          </w:tcPr>
          <w:p w14:paraId="6EE2CA58">
            <w:pPr>
              <w:spacing w:line="353" w:lineRule="auto"/>
              <w:rPr>
                <w:rFonts w:ascii="Arial"/>
                <w:sz w:val="21"/>
              </w:rPr>
            </w:pPr>
          </w:p>
          <w:p w14:paraId="67AC80F6">
            <w:pPr>
              <w:spacing w:before="78" w:line="219" w:lineRule="auto"/>
              <w:ind w:left="123" w:leftChars="0"/>
              <w:rPr>
                <w:rFonts w:ascii="宋体" w:hAnsi="宋体" w:eastAsia="宋体" w:cs="宋体"/>
                <w:color w:val="auto"/>
                <w:lang w:eastAsia="zh-CN"/>
              </w:rPr>
            </w:pPr>
            <w:r>
              <w:rPr>
                <w:rFonts w:ascii="新宋体" w:hAnsi="新宋体" w:eastAsia="新宋体" w:cs="新宋体"/>
                <w:spacing w:val="-2"/>
                <w:sz w:val="24"/>
                <w:szCs w:val="24"/>
              </w:rPr>
              <w:t>符合竞争性磋商文件要求</w:t>
            </w:r>
          </w:p>
        </w:tc>
      </w:tr>
      <w:tr w14:paraId="79E9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8" w:type="dxa"/>
            <w:vMerge w:val="continue"/>
            <w:vAlign w:val="top"/>
          </w:tcPr>
          <w:p w14:paraId="4DC2E549">
            <w:pPr>
              <w:pStyle w:val="38"/>
              <w:spacing w:before="78" w:line="184" w:lineRule="auto"/>
              <w:ind w:left="250" w:leftChars="0"/>
              <w:rPr>
                <w:rFonts w:ascii="宋体" w:hAnsi="宋体" w:eastAsia="宋体" w:cs="宋体"/>
                <w:color w:val="auto"/>
                <w:lang w:eastAsia="zh-CN"/>
              </w:rPr>
            </w:pPr>
          </w:p>
        </w:tc>
        <w:tc>
          <w:tcPr>
            <w:tcW w:w="819" w:type="dxa"/>
            <w:vMerge w:val="continue"/>
            <w:vAlign w:val="top"/>
          </w:tcPr>
          <w:p w14:paraId="5A11CADB">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zh-CN" w:bidi="ar-SA"/>
              </w:rPr>
            </w:pPr>
          </w:p>
        </w:tc>
        <w:tc>
          <w:tcPr>
            <w:tcW w:w="2886" w:type="dxa"/>
            <w:vAlign w:val="top"/>
          </w:tcPr>
          <w:p w14:paraId="0F670FA3">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en-US" w:bidi="ar-SA"/>
              </w:rPr>
            </w:pPr>
            <w:r>
              <w:rPr>
                <w:rFonts w:ascii="宋体" w:hAnsi="宋体" w:eastAsia="宋体" w:cs="宋体"/>
                <w:snapToGrid w:val="0"/>
                <w:color w:val="000000"/>
                <w:spacing w:val="-7"/>
                <w:sz w:val="24"/>
                <w:szCs w:val="24"/>
                <w:lang w:val="en-US" w:eastAsia="en-US" w:bidi="ar-SA"/>
              </w:rPr>
              <w:t>竞争性磋商响应文件格式</w:t>
            </w:r>
          </w:p>
        </w:tc>
        <w:tc>
          <w:tcPr>
            <w:tcW w:w="5381" w:type="dxa"/>
            <w:vAlign w:val="top"/>
          </w:tcPr>
          <w:p w14:paraId="6A0C0EAD">
            <w:pPr>
              <w:spacing w:line="269" w:lineRule="auto"/>
              <w:rPr>
                <w:rFonts w:ascii="Arial"/>
                <w:sz w:val="21"/>
              </w:rPr>
            </w:pPr>
          </w:p>
          <w:p w14:paraId="0CA72A1D">
            <w:pPr>
              <w:spacing w:before="78" w:line="207" w:lineRule="auto"/>
              <w:ind w:left="123" w:leftChars="0"/>
              <w:rPr>
                <w:rFonts w:ascii="宋体" w:hAnsi="宋体" w:eastAsia="宋体" w:cs="宋体"/>
                <w:color w:val="auto"/>
                <w:lang w:eastAsia="zh-CN"/>
              </w:rPr>
            </w:pPr>
            <w:r>
              <w:rPr>
                <w:rFonts w:ascii="新宋体" w:hAnsi="新宋体" w:eastAsia="新宋体" w:cs="新宋体"/>
                <w:spacing w:val="-2"/>
                <w:sz w:val="24"/>
                <w:szCs w:val="24"/>
              </w:rPr>
              <w:t>符合竞争性磋商文件要求</w:t>
            </w:r>
          </w:p>
        </w:tc>
      </w:tr>
      <w:tr w14:paraId="608B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78" w:type="dxa"/>
            <w:vMerge w:val="continue"/>
            <w:vAlign w:val="top"/>
          </w:tcPr>
          <w:p w14:paraId="56AEA828">
            <w:pPr>
              <w:pStyle w:val="38"/>
              <w:spacing w:before="78" w:line="184" w:lineRule="auto"/>
              <w:ind w:left="250" w:leftChars="0"/>
              <w:rPr>
                <w:rFonts w:ascii="宋体" w:hAnsi="宋体" w:eastAsia="宋体" w:cs="宋体"/>
                <w:color w:val="auto"/>
                <w:lang w:eastAsia="zh-CN"/>
              </w:rPr>
            </w:pPr>
          </w:p>
        </w:tc>
        <w:tc>
          <w:tcPr>
            <w:tcW w:w="819" w:type="dxa"/>
            <w:vMerge w:val="continue"/>
            <w:vAlign w:val="top"/>
          </w:tcPr>
          <w:p w14:paraId="115B1F4D">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zh-CN" w:bidi="ar-SA"/>
              </w:rPr>
            </w:pPr>
          </w:p>
        </w:tc>
        <w:tc>
          <w:tcPr>
            <w:tcW w:w="2886" w:type="dxa"/>
            <w:vAlign w:val="top"/>
          </w:tcPr>
          <w:p w14:paraId="6CC8CE58">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en-US" w:bidi="ar-SA"/>
              </w:rPr>
            </w:pPr>
            <w:r>
              <w:rPr>
                <w:rFonts w:ascii="宋体" w:hAnsi="宋体" w:eastAsia="宋体" w:cs="宋体"/>
                <w:snapToGrid w:val="0"/>
                <w:color w:val="000000"/>
                <w:spacing w:val="-7"/>
                <w:sz w:val="24"/>
                <w:szCs w:val="24"/>
                <w:lang w:val="en-US" w:eastAsia="en-US" w:bidi="ar-SA"/>
              </w:rPr>
              <w:t>联合体响应</w:t>
            </w:r>
          </w:p>
        </w:tc>
        <w:tc>
          <w:tcPr>
            <w:tcW w:w="5381" w:type="dxa"/>
            <w:vAlign w:val="top"/>
          </w:tcPr>
          <w:p w14:paraId="5CF552EA">
            <w:pPr>
              <w:spacing w:before="131" w:line="206" w:lineRule="auto"/>
              <w:ind w:left="125" w:leftChars="0"/>
              <w:rPr>
                <w:rFonts w:ascii="宋体" w:hAnsi="宋体" w:eastAsia="宋体" w:cs="宋体"/>
                <w:color w:val="auto"/>
                <w:lang w:eastAsia="zh-CN"/>
              </w:rPr>
            </w:pPr>
            <w:r>
              <w:rPr>
                <w:rFonts w:ascii="新宋体" w:hAnsi="新宋体" w:eastAsia="新宋体" w:cs="新宋体"/>
                <w:spacing w:val="-5"/>
                <w:sz w:val="24"/>
                <w:szCs w:val="24"/>
              </w:rPr>
              <w:t>不接受</w:t>
            </w:r>
          </w:p>
        </w:tc>
      </w:tr>
      <w:tr w14:paraId="6346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8" w:type="dxa"/>
            <w:vMerge w:val="continue"/>
            <w:vAlign w:val="top"/>
          </w:tcPr>
          <w:p w14:paraId="1292A6CE">
            <w:pPr>
              <w:pStyle w:val="38"/>
              <w:spacing w:before="78" w:line="184" w:lineRule="auto"/>
              <w:ind w:left="250" w:leftChars="0"/>
              <w:rPr>
                <w:rFonts w:ascii="宋体" w:hAnsi="宋体" w:eastAsia="宋体" w:cs="宋体"/>
                <w:color w:val="auto"/>
                <w:lang w:eastAsia="zh-CN"/>
              </w:rPr>
            </w:pPr>
          </w:p>
        </w:tc>
        <w:tc>
          <w:tcPr>
            <w:tcW w:w="819" w:type="dxa"/>
            <w:vMerge w:val="continue"/>
            <w:vAlign w:val="top"/>
          </w:tcPr>
          <w:p w14:paraId="707604CF">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zh-CN" w:bidi="ar-SA"/>
              </w:rPr>
            </w:pPr>
          </w:p>
        </w:tc>
        <w:tc>
          <w:tcPr>
            <w:tcW w:w="2886" w:type="dxa"/>
            <w:vAlign w:val="top"/>
          </w:tcPr>
          <w:p w14:paraId="05B26F0D">
            <w:pPr>
              <w:pStyle w:val="38"/>
              <w:spacing w:before="78" w:line="238" w:lineRule="auto"/>
              <w:ind w:left="297" w:leftChars="0" w:right="278" w:rightChars="0" w:firstLine="9" w:firstLineChars="0"/>
              <w:jc w:val="both"/>
              <w:rPr>
                <w:rFonts w:ascii="宋体" w:hAnsi="宋体" w:eastAsia="宋体" w:cs="宋体"/>
                <w:snapToGrid w:val="0"/>
                <w:color w:val="000000"/>
                <w:spacing w:val="-7"/>
                <w:sz w:val="24"/>
                <w:szCs w:val="24"/>
                <w:lang w:val="en-US" w:eastAsia="zh-CN" w:bidi="ar-SA"/>
              </w:rPr>
            </w:pPr>
            <w:r>
              <w:rPr>
                <w:rFonts w:hint="eastAsia" w:ascii="宋体" w:hAnsi="宋体" w:eastAsia="宋体" w:cs="宋体"/>
                <w:snapToGrid w:val="0"/>
                <w:color w:val="000000"/>
                <w:spacing w:val="-7"/>
                <w:sz w:val="24"/>
                <w:szCs w:val="24"/>
                <w:lang w:val="en-US" w:eastAsia="zh-CN" w:bidi="ar-SA"/>
              </w:rPr>
              <w:t>响应内容</w:t>
            </w:r>
          </w:p>
        </w:tc>
        <w:tc>
          <w:tcPr>
            <w:tcW w:w="5381" w:type="dxa"/>
            <w:vAlign w:val="top"/>
          </w:tcPr>
          <w:p w14:paraId="178C7988">
            <w:pPr>
              <w:spacing w:line="279" w:lineRule="auto"/>
              <w:rPr>
                <w:rFonts w:ascii="Arial"/>
                <w:sz w:val="21"/>
              </w:rPr>
            </w:pPr>
          </w:p>
          <w:p w14:paraId="2C058A51">
            <w:pPr>
              <w:pStyle w:val="38"/>
              <w:spacing w:before="78" w:line="206" w:lineRule="auto"/>
              <w:rPr>
                <w:rFonts w:ascii="宋体" w:hAnsi="宋体" w:eastAsia="宋体" w:cs="宋体"/>
                <w:color w:val="auto"/>
                <w:lang w:eastAsia="zh-CN"/>
              </w:rPr>
            </w:pPr>
            <w:r>
              <w:rPr>
                <w:rFonts w:ascii="新宋体" w:hAnsi="新宋体" w:eastAsia="新宋体" w:cs="新宋体"/>
                <w:spacing w:val="-2"/>
                <w:sz w:val="24"/>
                <w:szCs w:val="24"/>
              </w:rPr>
              <w:t>符合竞争性磋商文件要求</w:t>
            </w:r>
          </w:p>
        </w:tc>
      </w:tr>
      <w:tr w14:paraId="6238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8" w:type="dxa"/>
            <w:vMerge w:val="continue"/>
            <w:vAlign w:val="top"/>
          </w:tcPr>
          <w:p w14:paraId="2D4DBFA8">
            <w:pPr>
              <w:rPr>
                <w:rFonts w:ascii="宋体" w:hAnsi="宋体" w:eastAsia="宋体" w:cs="宋体"/>
                <w:color w:val="auto"/>
                <w:lang w:eastAsia="zh-CN"/>
              </w:rPr>
            </w:pPr>
          </w:p>
        </w:tc>
        <w:tc>
          <w:tcPr>
            <w:tcW w:w="819" w:type="dxa"/>
            <w:vMerge w:val="continue"/>
            <w:vAlign w:val="top"/>
          </w:tcPr>
          <w:p w14:paraId="7FF33161">
            <w:pPr>
              <w:rPr>
                <w:rFonts w:ascii="宋体" w:hAnsi="宋体" w:eastAsia="宋体" w:cs="宋体"/>
                <w:snapToGrid w:val="0"/>
                <w:color w:val="000000"/>
                <w:spacing w:val="-7"/>
                <w:sz w:val="24"/>
                <w:szCs w:val="24"/>
                <w:lang w:val="en-US" w:eastAsia="zh-CN" w:bidi="ar-SA"/>
              </w:rPr>
            </w:pPr>
          </w:p>
        </w:tc>
        <w:tc>
          <w:tcPr>
            <w:tcW w:w="2886" w:type="dxa"/>
            <w:vAlign w:val="top"/>
          </w:tcPr>
          <w:p w14:paraId="100DB289">
            <w:pPr>
              <w:pStyle w:val="38"/>
              <w:spacing w:before="185" w:line="218" w:lineRule="auto"/>
              <w:ind w:left="370" w:leftChars="0"/>
              <w:jc w:val="center"/>
              <w:rPr>
                <w:rFonts w:ascii="宋体" w:hAnsi="宋体" w:eastAsia="宋体" w:cs="宋体"/>
                <w:snapToGrid w:val="0"/>
                <w:color w:val="000000"/>
                <w:spacing w:val="-7"/>
                <w:sz w:val="24"/>
                <w:szCs w:val="24"/>
                <w:lang w:val="en-US" w:eastAsia="en-US" w:bidi="ar-SA"/>
              </w:rPr>
            </w:pPr>
            <w:r>
              <w:rPr>
                <w:rFonts w:ascii="宋体" w:hAnsi="宋体" w:eastAsia="宋体" w:cs="宋体"/>
                <w:snapToGrid w:val="0"/>
                <w:color w:val="000000"/>
                <w:spacing w:val="-7"/>
                <w:sz w:val="24"/>
                <w:szCs w:val="24"/>
                <w:lang w:val="en-US" w:eastAsia="en-US" w:bidi="ar-SA"/>
              </w:rPr>
              <w:t>磋商报价</w:t>
            </w:r>
          </w:p>
        </w:tc>
        <w:tc>
          <w:tcPr>
            <w:tcW w:w="5381" w:type="dxa"/>
            <w:vAlign w:val="top"/>
          </w:tcPr>
          <w:p w14:paraId="16499D58">
            <w:pPr>
              <w:pStyle w:val="38"/>
              <w:spacing w:before="185" w:line="218" w:lineRule="auto"/>
              <w:rPr>
                <w:rFonts w:ascii="宋体" w:hAnsi="宋体" w:eastAsia="宋体" w:cs="宋体"/>
                <w:color w:val="auto"/>
                <w:lang w:eastAsia="zh-CN"/>
              </w:rPr>
            </w:pPr>
            <w:r>
              <w:rPr>
                <w:spacing w:val="-1"/>
              </w:rPr>
              <w:t>磋商报价</w:t>
            </w:r>
            <w:r>
              <w:rPr>
                <w:rFonts w:hint="eastAsia"/>
                <w:spacing w:val="-1"/>
                <w:lang w:val="en-US" w:eastAsia="zh-CN"/>
              </w:rPr>
              <w:t>不高于采购</w:t>
            </w:r>
            <w:r>
              <w:rPr>
                <w:spacing w:val="-1"/>
              </w:rPr>
              <w:t>控制价</w:t>
            </w:r>
          </w:p>
        </w:tc>
      </w:tr>
      <w:tr w14:paraId="53FD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78" w:type="dxa"/>
            <w:vMerge w:val="continue"/>
            <w:vAlign w:val="top"/>
          </w:tcPr>
          <w:p w14:paraId="2F5F3300">
            <w:pPr>
              <w:rPr>
                <w:rFonts w:ascii="宋体" w:hAnsi="宋体" w:eastAsia="宋体" w:cs="宋体"/>
                <w:color w:val="auto"/>
                <w:lang w:eastAsia="zh-CN"/>
              </w:rPr>
            </w:pPr>
          </w:p>
        </w:tc>
        <w:tc>
          <w:tcPr>
            <w:tcW w:w="819" w:type="dxa"/>
            <w:vMerge w:val="continue"/>
            <w:vAlign w:val="top"/>
          </w:tcPr>
          <w:p w14:paraId="5AD184C4">
            <w:pPr>
              <w:rPr>
                <w:rFonts w:ascii="宋体" w:hAnsi="宋体" w:eastAsia="宋体" w:cs="宋体"/>
                <w:snapToGrid w:val="0"/>
                <w:color w:val="000000"/>
                <w:spacing w:val="-7"/>
                <w:sz w:val="24"/>
                <w:szCs w:val="24"/>
                <w:lang w:val="en-US" w:eastAsia="zh-CN" w:bidi="ar-SA"/>
              </w:rPr>
            </w:pPr>
          </w:p>
        </w:tc>
        <w:tc>
          <w:tcPr>
            <w:tcW w:w="2886" w:type="dxa"/>
            <w:vAlign w:val="top"/>
          </w:tcPr>
          <w:p w14:paraId="2BC69E79">
            <w:pPr>
              <w:pStyle w:val="38"/>
              <w:spacing w:before="185" w:line="219" w:lineRule="auto"/>
              <w:jc w:val="center"/>
              <w:rPr>
                <w:rFonts w:ascii="宋体" w:hAnsi="宋体" w:eastAsia="宋体" w:cs="宋体"/>
                <w:snapToGrid w:val="0"/>
                <w:color w:val="000000"/>
                <w:spacing w:val="-7"/>
                <w:sz w:val="24"/>
                <w:szCs w:val="24"/>
                <w:lang w:val="en-US" w:eastAsia="en-US" w:bidi="ar-SA"/>
              </w:rPr>
            </w:pPr>
            <w:r>
              <w:rPr>
                <w:rFonts w:ascii="宋体" w:hAnsi="宋体" w:eastAsia="宋体" w:cs="宋体"/>
                <w:snapToGrid w:val="0"/>
                <w:color w:val="000000"/>
                <w:spacing w:val="-7"/>
                <w:sz w:val="24"/>
                <w:szCs w:val="24"/>
                <w:lang w:val="en-US" w:eastAsia="en-US" w:bidi="ar-SA"/>
              </w:rPr>
              <w:t>服务期限</w:t>
            </w:r>
          </w:p>
        </w:tc>
        <w:tc>
          <w:tcPr>
            <w:tcW w:w="5381" w:type="dxa"/>
            <w:vAlign w:val="top"/>
          </w:tcPr>
          <w:p w14:paraId="51367743">
            <w:pPr>
              <w:pStyle w:val="38"/>
              <w:spacing w:before="187" w:line="219" w:lineRule="auto"/>
              <w:rPr>
                <w:rFonts w:ascii="宋体" w:hAnsi="宋体" w:eastAsia="宋体" w:cs="宋体"/>
                <w:color w:val="auto"/>
                <w:lang w:eastAsia="zh-CN"/>
              </w:rPr>
            </w:pPr>
            <w:r>
              <w:rPr>
                <w:rFonts w:ascii="新宋体" w:hAnsi="新宋体" w:eastAsia="新宋体" w:cs="新宋体"/>
                <w:spacing w:val="-2"/>
                <w:sz w:val="24"/>
                <w:szCs w:val="24"/>
              </w:rPr>
              <w:t>符合竞争性磋商文件要求</w:t>
            </w:r>
          </w:p>
        </w:tc>
      </w:tr>
      <w:tr w14:paraId="70FB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78" w:type="dxa"/>
            <w:vMerge w:val="continue"/>
            <w:vAlign w:val="top"/>
          </w:tcPr>
          <w:p w14:paraId="25E8C0D1">
            <w:pPr>
              <w:rPr>
                <w:rFonts w:ascii="宋体" w:hAnsi="宋体" w:eastAsia="宋体" w:cs="宋体"/>
                <w:color w:val="auto"/>
                <w:lang w:eastAsia="zh-CN"/>
              </w:rPr>
            </w:pPr>
          </w:p>
        </w:tc>
        <w:tc>
          <w:tcPr>
            <w:tcW w:w="819" w:type="dxa"/>
            <w:vMerge w:val="continue"/>
            <w:vAlign w:val="top"/>
          </w:tcPr>
          <w:p w14:paraId="3C98CC85">
            <w:pPr>
              <w:rPr>
                <w:rFonts w:ascii="宋体" w:hAnsi="宋体" w:eastAsia="宋体" w:cs="宋体"/>
                <w:snapToGrid w:val="0"/>
                <w:color w:val="000000"/>
                <w:spacing w:val="-7"/>
                <w:sz w:val="24"/>
                <w:szCs w:val="24"/>
                <w:lang w:val="en-US" w:eastAsia="zh-CN" w:bidi="ar-SA"/>
              </w:rPr>
            </w:pPr>
          </w:p>
        </w:tc>
        <w:tc>
          <w:tcPr>
            <w:tcW w:w="2886" w:type="dxa"/>
            <w:vAlign w:val="top"/>
          </w:tcPr>
          <w:p w14:paraId="269A14F5">
            <w:pPr>
              <w:pStyle w:val="38"/>
              <w:spacing w:before="182" w:line="220" w:lineRule="auto"/>
              <w:jc w:val="center"/>
              <w:rPr>
                <w:rFonts w:hint="eastAsia" w:ascii="宋体" w:hAnsi="宋体" w:eastAsia="宋体" w:cs="宋体"/>
                <w:snapToGrid w:val="0"/>
                <w:color w:val="000000"/>
                <w:spacing w:val="-7"/>
                <w:sz w:val="24"/>
                <w:szCs w:val="24"/>
                <w:lang w:val="en-US" w:eastAsia="zh-CN" w:bidi="ar-SA"/>
              </w:rPr>
            </w:pPr>
            <w:r>
              <w:rPr>
                <w:rFonts w:ascii="宋体" w:hAnsi="宋体" w:eastAsia="宋体" w:cs="宋体"/>
                <w:snapToGrid w:val="0"/>
                <w:color w:val="000000"/>
                <w:spacing w:val="-7"/>
                <w:sz w:val="24"/>
                <w:szCs w:val="24"/>
                <w:lang w:val="en-US" w:eastAsia="en-US" w:bidi="ar-SA"/>
              </w:rPr>
              <w:t>质量</w:t>
            </w:r>
          </w:p>
        </w:tc>
        <w:tc>
          <w:tcPr>
            <w:tcW w:w="5381" w:type="dxa"/>
            <w:vAlign w:val="top"/>
          </w:tcPr>
          <w:p w14:paraId="1ACDAC08">
            <w:pPr>
              <w:pStyle w:val="38"/>
              <w:spacing w:before="183" w:line="219" w:lineRule="auto"/>
              <w:rPr>
                <w:rFonts w:hint="eastAsia" w:ascii="宋体" w:hAnsi="宋体" w:eastAsia="宋体" w:cs="宋体"/>
                <w:color w:val="auto"/>
                <w:lang w:eastAsia="zh-CN"/>
              </w:rPr>
            </w:pPr>
            <w:r>
              <w:rPr>
                <w:rFonts w:ascii="新宋体" w:hAnsi="新宋体" w:eastAsia="新宋体" w:cs="新宋体"/>
                <w:spacing w:val="-2"/>
                <w:sz w:val="24"/>
                <w:szCs w:val="24"/>
              </w:rPr>
              <w:t>符合竞争性磋商文件要求</w:t>
            </w:r>
          </w:p>
        </w:tc>
      </w:tr>
      <w:tr w14:paraId="4986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78" w:type="dxa"/>
            <w:vMerge w:val="continue"/>
            <w:vAlign w:val="top"/>
          </w:tcPr>
          <w:p w14:paraId="741E23E1">
            <w:pPr>
              <w:rPr>
                <w:rFonts w:ascii="宋体" w:hAnsi="宋体" w:eastAsia="宋体" w:cs="宋体"/>
                <w:color w:val="auto"/>
                <w:lang w:eastAsia="zh-CN"/>
              </w:rPr>
            </w:pPr>
          </w:p>
        </w:tc>
        <w:tc>
          <w:tcPr>
            <w:tcW w:w="819" w:type="dxa"/>
            <w:vMerge w:val="continue"/>
            <w:vAlign w:val="top"/>
          </w:tcPr>
          <w:p w14:paraId="62B7D46B">
            <w:pPr>
              <w:rPr>
                <w:rFonts w:ascii="宋体" w:hAnsi="宋体" w:eastAsia="宋体" w:cs="宋体"/>
                <w:color w:val="auto"/>
                <w:lang w:eastAsia="zh-CN"/>
              </w:rPr>
            </w:pPr>
          </w:p>
        </w:tc>
        <w:tc>
          <w:tcPr>
            <w:tcW w:w="2886" w:type="dxa"/>
            <w:vAlign w:val="top"/>
          </w:tcPr>
          <w:p w14:paraId="5A8D3993">
            <w:pPr>
              <w:pStyle w:val="38"/>
              <w:spacing w:before="184" w:line="219" w:lineRule="auto"/>
              <w:jc w:val="center"/>
              <w:rPr>
                <w:rFonts w:hint="default" w:ascii="宋体" w:hAnsi="宋体" w:eastAsia="宋体" w:cs="宋体"/>
                <w:color w:val="auto"/>
                <w:lang w:val="en-US" w:eastAsia="zh-CN"/>
              </w:rPr>
            </w:pPr>
            <w:r>
              <w:rPr>
                <w:spacing w:val="-2"/>
              </w:rPr>
              <w:t>磋商有效期</w:t>
            </w:r>
          </w:p>
        </w:tc>
        <w:tc>
          <w:tcPr>
            <w:tcW w:w="5381" w:type="dxa"/>
            <w:vAlign w:val="top"/>
          </w:tcPr>
          <w:p w14:paraId="49EC0504">
            <w:pPr>
              <w:pStyle w:val="38"/>
              <w:spacing w:before="184" w:line="219" w:lineRule="auto"/>
              <w:rPr>
                <w:rFonts w:hint="default" w:ascii="宋体" w:hAnsi="宋体" w:eastAsia="宋体" w:cs="宋体"/>
                <w:color w:val="auto"/>
                <w:lang w:val="en-US" w:eastAsia="zh-CN"/>
              </w:rPr>
            </w:pPr>
            <w:r>
              <w:rPr>
                <w:rFonts w:ascii="新宋体" w:hAnsi="新宋体" w:eastAsia="新宋体" w:cs="新宋体"/>
                <w:spacing w:val="-2"/>
                <w:sz w:val="24"/>
                <w:szCs w:val="24"/>
              </w:rPr>
              <w:t>符合竞争性磋商文件要求</w:t>
            </w:r>
          </w:p>
        </w:tc>
      </w:tr>
      <w:tr w14:paraId="7B96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78" w:type="dxa"/>
            <w:vMerge w:val="continue"/>
            <w:vAlign w:val="top"/>
          </w:tcPr>
          <w:p w14:paraId="5A50DF3F">
            <w:pPr>
              <w:rPr>
                <w:rFonts w:ascii="宋体" w:hAnsi="宋体" w:eastAsia="宋体" w:cs="宋体"/>
                <w:color w:val="auto"/>
                <w:lang w:eastAsia="zh-CN"/>
              </w:rPr>
            </w:pPr>
            <w:bookmarkStart w:id="825" w:name="_Toc144974567"/>
            <w:bookmarkStart w:id="826" w:name="_Toc318450722"/>
            <w:bookmarkStart w:id="827" w:name="_Toc31578"/>
            <w:bookmarkStart w:id="828" w:name="_Toc152042377"/>
            <w:bookmarkStart w:id="829" w:name="_Toc29550"/>
            <w:bookmarkStart w:id="830" w:name="_Toc281405528"/>
            <w:bookmarkStart w:id="831" w:name="_Toc21514"/>
            <w:bookmarkStart w:id="832" w:name="_Toc152045600"/>
          </w:p>
        </w:tc>
        <w:tc>
          <w:tcPr>
            <w:tcW w:w="819" w:type="dxa"/>
            <w:vMerge w:val="continue"/>
            <w:vAlign w:val="top"/>
          </w:tcPr>
          <w:p w14:paraId="3EB04F48">
            <w:pPr>
              <w:rPr>
                <w:rFonts w:ascii="宋体" w:hAnsi="宋体" w:eastAsia="宋体" w:cs="宋体"/>
                <w:color w:val="auto"/>
                <w:lang w:eastAsia="zh-CN"/>
              </w:rPr>
            </w:pPr>
          </w:p>
        </w:tc>
        <w:tc>
          <w:tcPr>
            <w:tcW w:w="2886" w:type="dxa"/>
            <w:vAlign w:val="top"/>
          </w:tcPr>
          <w:p w14:paraId="2E7490F6">
            <w:pPr>
              <w:pStyle w:val="38"/>
              <w:spacing w:before="184" w:line="219" w:lineRule="auto"/>
              <w:jc w:val="center"/>
              <w:rPr>
                <w:rFonts w:hint="default" w:ascii="宋体" w:hAnsi="宋体" w:eastAsia="宋体" w:cs="宋体"/>
                <w:color w:val="auto"/>
                <w:lang w:val="en-US" w:eastAsia="zh-CN"/>
              </w:rPr>
            </w:pPr>
            <w:r>
              <w:rPr>
                <w:rFonts w:hint="eastAsia"/>
                <w:lang w:val="en-US" w:eastAsia="zh-CN"/>
              </w:rPr>
              <w:t>其他实质性要求</w:t>
            </w:r>
          </w:p>
        </w:tc>
        <w:tc>
          <w:tcPr>
            <w:tcW w:w="5381" w:type="dxa"/>
            <w:vAlign w:val="top"/>
          </w:tcPr>
          <w:p w14:paraId="374A48D6">
            <w:pPr>
              <w:pStyle w:val="38"/>
              <w:spacing w:before="184" w:line="219" w:lineRule="auto"/>
              <w:rPr>
                <w:rFonts w:hint="default" w:ascii="宋体" w:hAnsi="宋体" w:eastAsia="宋体" w:cs="宋体"/>
                <w:color w:val="auto"/>
                <w:lang w:val="en-US" w:eastAsia="zh-CN"/>
              </w:rPr>
            </w:pPr>
            <w:r>
              <w:rPr>
                <w:rFonts w:hint="eastAsia"/>
                <w:lang w:val="en-US" w:eastAsia="zh-CN"/>
              </w:rPr>
              <w:t>符合竞争性磋商文件要求</w:t>
            </w:r>
          </w:p>
        </w:tc>
      </w:tr>
      <w:tr w14:paraId="7382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864" w:type="dxa"/>
            <w:gridSpan w:val="4"/>
            <w:tcBorders>
              <w:top w:val="single" w:color="000000" w:sz="4" w:space="0"/>
              <w:left w:val="single" w:color="000000" w:sz="4" w:space="0"/>
              <w:bottom w:val="single" w:color="000000" w:sz="4" w:space="0"/>
              <w:right w:val="single" w:color="000000" w:sz="4" w:space="0"/>
            </w:tcBorders>
            <w:noWrap w:val="0"/>
            <w:vAlign w:val="center"/>
          </w:tcPr>
          <w:p w14:paraId="263D13A4">
            <w:pPr>
              <w:keepNext w:val="0"/>
              <w:keepLines w:val="0"/>
              <w:widowControl/>
              <w:suppressLineNumbers w:val="0"/>
              <w:jc w:val="center"/>
              <w:textAlignment w:val="center"/>
              <w:rPr>
                <w:rFonts w:ascii="仿宋" w:hAnsi="仿宋" w:eastAsia="仿宋" w:cs="仿宋"/>
                <w:b/>
                <w:bCs/>
                <w:i w:val="0"/>
                <w:iCs w:val="0"/>
                <w:color w:val="auto"/>
                <w:sz w:val="22"/>
                <w:szCs w:val="22"/>
                <w:u w:val="none"/>
              </w:rPr>
            </w:pPr>
          </w:p>
        </w:tc>
      </w:tr>
    </w:tbl>
    <w:p w14:paraId="3590B83F">
      <w:pPr>
        <w:spacing w:line="400" w:lineRule="exact"/>
        <w:outlineLvl w:val="1"/>
        <w:rPr>
          <w:rFonts w:hint="eastAsia" w:ascii="宋体" w:hAnsi="宋体" w:cs="宋体"/>
          <w:b/>
          <w:bCs/>
          <w:color w:val="auto"/>
          <w:lang w:eastAsia="zh-CN"/>
        </w:rPr>
      </w:pPr>
    </w:p>
    <w:tbl>
      <w:tblPr>
        <w:tblStyle w:val="2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1742"/>
        <w:gridCol w:w="4564"/>
        <w:gridCol w:w="1230"/>
        <w:gridCol w:w="1785"/>
      </w:tblGrid>
      <w:tr w14:paraId="439C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jc w:val="center"/>
        </w:trPr>
        <w:tc>
          <w:tcPr>
            <w:tcW w:w="2613" w:type="dxa"/>
            <w:gridSpan w:val="2"/>
            <w:noWrap w:val="0"/>
            <w:vAlign w:val="center"/>
          </w:tcPr>
          <w:p w14:paraId="06CA88E5">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评审因素</w:t>
            </w:r>
          </w:p>
        </w:tc>
        <w:tc>
          <w:tcPr>
            <w:tcW w:w="7579" w:type="dxa"/>
            <w:gridSpan w:val="3"/>
            <w:noWrap w:val="0"/>
            <w:vAlign w:val="center"/>
          </w:tcPr>
          <w:p w14:paraId="02E365B2">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评审标准</w:t>
            </w:r>
          </w:p>
        </w:tc>
      </w:tr>
      <w:tr w14:paraId="53DB7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0" w:hRule="atLeast"/>
          <w:jc w:val="center"/>
        </w:trPr>
        <w:tc>
          <w:tcPr>
            <w:tcW w:w="2613" w:type="dxa"/>
            <w:gridSpan w:val="2"/>
            <w:noWrap w:val="0"/>
            <w:vAlign w:val="center"/>
          </w:tcPr>
          <w:p w14:paraId="7BF6E793">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分值构成</w:t>
            </w:r>
          </w:p>
        </w:tc>
        <w:tc>
          <w:tcPr>
            <w:tcW w:w="7579" w:type="dxa"/>
            <w:gridSpan w:val="3"/>
            <w:noWrap w:val="0"/>
            <w:vAlign w:val="top"/>
          </w:tcPr>
          <w:p w14:paraId="622FC500">
            <w:pPr>
              <w:pStyle w:val="44"/>
              <w:jc w:val="left"/>
              <w:rPr>
                <w:rFonts w:hint="default"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商务部分15分</w:t>
            </w:r>
          </w:p>
          <w:p w14:paraId="61311C0A">
            <w:pPr>
              <w:pStyle w:val="44"/>
              <w:jc w:val="left"/>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技术部分55分</w:t>
            </w:r>
          </w:p>
          <w:p w14:paraId="74A46ED0">
            <w:pPr>
              <w:pStyle w:val="44"/>
              <w:jc w:val="left"/>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报价部分30分</w:t>
            </w:r>
          </w:p>
        </w:tc>
      </w:tr>
      <w:tr w14:paraId="18223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3" w:hRule="atLeast"/>
          <w:jc w:val="center"/>
        </w:trPr>
        <w:tc>
          <w:tcPr>
            <w:tcW w:w="871" w:type="dxa"/>
            <w:noWrap w:val="0"/>
            <w:vAlign w:val="center"/>
          </w:tcPr>
          <w:p w14:paraId="61085559">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评审因素分类</w:t>
            </w:r>
          </w:p>
        </w:tc>
        <w:tc>
          <w:tcPr>
            <w:tcW w:w="1742" w:type="dxa"/>
            <w:noWrap w:val="0"/>
            <w:vAlign w:val="center"/>
          </w:tcPr>
          <w:p w14:paraId="275461F5">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评审内容</w:t>
            </w:r>
          </w:p>
        </w:tc>
        <w:tc>
          <w:tcPr>
            <w:tcW w:w="4564" w:type="dxa"/>
            <w:noWrap w:val="0"/>
            <w:vAlign w:val="center"/>
          </w:tcPr>
          <w:p w14:paraId="2AB46D2C">
            <w:pPr>
              <w:pStyle w:val="44"/>
              <w:jc w:val="both"/>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具体标准和要求</w:t>
            </w:r>
          </w:p>
        </w:tc>
        <w:tc>
          <w:tcPr>
            <w:tcW w:w="1230" w:type="dxa"/>
            <w:noWrap w:val="0"/>
            <w:vAlign w:val="center"/>
          </w:tcPr>
          <w:p w14:paraId="2EDAC600">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评标分值</w:t>
            </w:r>
          </w:p>
        </w:tc>
        <w:tc>
          <w:tcPr>
            <w:tcW w:w="1785" w:type="dxa"/>
            <w:noWrap w:val="0"/>
            <w:vAlign w:val="center"/>
          </w:tcPr>
          <w:p w14:paraId="194AF060">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关联投标文件格式文本</w:t>
            </w:r>
          </w:p>
        </w:tc>
      </w:tr>
      <w:tr w14:paraId="6A026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8" w:hRule="atLeast"/>
          <w:jc w:val="center"/>
        </w:trPr>
        <w:tc>
          <w:tcPr>
            <w:tcW w:w="871" w:type="dxa"/>
            <w:vMerge w:val="restart"/>
            <w:noWrap w:val="0"/>
            <w:vAlign w:val="center"/>
          </w:tcPr>
          <w:p w14:paraId="18874F5A">
            <w:pPr>
              <w:pStyle w:val="44"/>
              <w:jc w:val="center"/>
              <w:rPr>
                <w:rFonts w:hint="default"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商务部分15分</w:t>
            </w:r>
          </w:p>
        </w:tc>
        <w:tc>
          <w:tcPr>
            <w:tcW w:w="1742" w:type="dxa"/>
            <w:noWrap w:val="0"/>
            <w:vAlign w:val="center"/>
          </w:tcPr>
          <w:p w14:paraId="019B02D1">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履约能力</w:t>
            </w:r>
          </w:p>
        </w:tc>
        <w:tc>
          <w:tcPr>
            <w:tcW w:w="4564" w:type="dxa"/>
            <w:noWrap w:val="0"/>
            <w:vAlign w:val="top"/>
          </w:tcPr>
          <w:p w14:paraId="445D8730">
            <w:pPr>
              <w:pStyle w:val="44"/>
              <w:jc w:val="left"/>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投标人在满足服务经验需求的基础上，每增加</w:t>
            </w:r>
            <w:r>
              <w:rPr>
                <w:rFonts w:hint="eastAsia" w:ascii="宋体" w:hAnsi="宋体" w:eastAsia="宋体" w:cs="宋体"/>
                <w:snapToGrid w:val="0"/>
                <w:color w:val="000000"/>
                <w:sz w:val="24"/>
                <w:szCs w:val="24"/>
                <w:highlight w:val="yellow"/>
                <w:lang w:val="en-US" w:eastAsia="zh-CN" w:bidi="ar-SA"/>
              </w:rPr>
              <w:t>202</w:t>
            </w:r>
            <w:r>
              <w:rPr>
                <w:rFonts w:hint="eastAsia" w:ascii="宋体" w:hAnsi="宋体" w:cs="宋体"/>
                <w:snapToGrid w:val="0"/>
                <w:color w:val="000000"/>
                <w:sz w:val="24"/>
                <w:szCs w:val="24"/>
                <w:highlight w:val="yellow"/>
                <w:lang w:val="en-US" w:eastAsia="zh-CN" w:bidi="ar-SA"/>
              </w:rPr>
              <w:t>2</w:t>
            </w:r>
            <w:r>
              <w:rPr>
                <w:rFonts w:hint="eastAsia" w:ascii="宋体" w:hAnsi="宋体" w:eastAsia="宋体" w:cs="宋体"/>
                <w:snapToGrid w:val="0"/>
                <w:color w:val="000000"/>
                <w:sz w:val="24"/>
                <w:szCs w:val="24"/>
                <w:highlight w:val="yellow"/>
                <w:lang w:val="en-US" w:eastAsia="zh-CN" w:bidi="ar-SA"/>
              </w:rPr>
              <w:t>年1月1日</w:t>
            </w:r>
            <w:r>
              <w:rPr>
                <w:rFonts w:hint="eastAsia" w:ascii="宋体" w:hAnsi="宋体" w:eastAsia="宋体" w:cs="宋体"/>
                <w:snapToGrid w:val="0"/>
                <w:color w:val="000000"/>
                <w:sz w:val="24"/>
                <w:szCs w:val="24"/>
                <w:lang w:val="en-US" w:eastAsia="zh-CN" w:bidi="ar-SA"/>
              </w:rPr>
              <w:t>以来一个类似项目业绩的得2分，最高得6分。（类似项目服务业绩是指类似医疗机构服务业绩） （说明：①提供合同复印件或中标通知书；②业绩不能重复）</w:t>
            </w:r>
          </w:p>
        </w:tc>
        <w:tc>
          <w:tcPr>
            <w:tcW w:w="1230" w:type="dxa"/>
            <w:noWrap w:val="0"/>
            <w:vAlign w:val="center"/>
          </w:tcPr>
          <w:p w14:paraId="0290E63E">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6分</w:t>
            </w:r>
          </w:p>
        </w:tc>
        <w:tc>
          <w:tcPr>
            <w:tcW w:w="1785" w:type="dxa"/>
            <w:noWrap w:val="0"/>
            <w:vAlign w:val="center"/>
          </w:tcPr>
          <w:p w14:paraId="2ACB12C1">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服务应答表</w:t>
            </w:r>
          </w:p>
          <w:p w14:paraId="6CE7AB21">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投标人应提交的相关证明材料</w:t>
            </w:r>
          </w:p>
        </w:tc>
      </w:tr>
      <w:tr w14:paraId="7192A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8" w:hRule="atLeast"/>
          <w:jc w:val="center"/>
        </w:trPr>
        <w:tc>
          <w:tcPr>
            <w:tcW w:w="871" w:type="dxa"/>
            <w:vMerge w:val="continue"/>
            <w:noWrap w:val="0"/>
            <w:vAlign w:val="center"/>
          </w:tcPr>
          <w:p w14:paraId="5FFBDB6B">
            <w:pPr>
              <w:pStyle w:val="44"/>
              <w:jc w:val="center"/>
              <w:rPr>
                <w:rFonts w:ascii="仿宋_GB2312" w:hAnsi="仿宋_GB2312" w:eastAsia="仿宋_GB2312" w:cs="仿宋_GB2312"/>
                <w:highlight w:val="yellow"/>
              </w:rPr>
            </w:pPr>
          </w:p>
        </w:tc>
        <w:tc>
          <w:tcPr>
            <w:tcW w:w="1742" w:type="dxa"/>
            <w:shd w:val="clear" w:color="auto" w:fill="auto"/>
            <w:noWrap w:val="0"/>
            <w:vAlign w:val="center"/>
          </w:tcPr>
          <w:p w14:paraId="50511099">
            <w:pPr>
              <w:pStyle w:val="44"/>
              <w:jc w:val="center"/>
              <w:rPr>
                <w:rFonts w:hint="eastAsia" w:ascii="宋体" w:hAnsi="宋体" w:eastAsia="宋体" w:cs="宋体"/>
                <w:snapToGrid w:val="0"/>
                <w:color w:val="000000"/>
                <w:sz w:val="24"/>
                <w:szCs w:val="24"/>
                <w:lang w:val="en-US" w:eastAsia="zh-Hans" w:bidi="ar-SA"/>
              </w:rPr>
            </w:pPr>
            <w:r>
              <w:rPr>
                <w:rFonts w:hint="eastAsia" w:ascii="宋体" w:hAnsi="宋体" w:eastAsia="宋体" w:cs="宋体"/>
                <w:snapToGrid w:val="0"/>
                <w:color w:val="000000"/>
                <w:sz w:val="24"/>
                <w:szCs w:val="24"/>
                <w:lang w:val="en-US" w:eastAsia="zh-CN" w:bidi="ar-SA"/>
              </w:rPr>
              <w:t>项目管理及职能运行方案</w:t>
            </w:r>
          </w:p>
        </w:tc>
        <w:tc>
          <w:tcPr>
            <w:tcW w:w="4564" w:type="dxa"/>
            <w:shd w:val="clear" w:color="auto" w:fill="auto"/>
            <w:noWrap w:val="0"/>
            <w:vAlign w:val="top"/>
          </w:tcPr>
          <w:p w14:paraId="35D8357A">
            <w:pPr>
              <w:pStyle w:val="44"/>
              <w:jc w:val="center"/>
              <w:rPr>
                <w:rFonts w:hint="eastAsia" w:ascii="宋体" w:hAnsi="宋体" w:eastAsia="宋体" w:cs="宋体"/>
                <w:snapToGrid w:val="0"/>
                <w:color w:val="000000"/>
                <w:sz w:val="24"/>
                <w:szCs w:val="24"/>
                <w:lang w:val="en-US" w:eastAsia="zh-Hans" w:bidi="ar-SA"/>
              </w:rPr>
            </w:pPr>
            <w:r>
              <w:rPr>
                <w:rFonts w:hint="eastAsia" w:ascii="宋体" w:hAnsi="宋体" w:eastAsia="宋体" w:cs="宋体"/>
                <w:snapToGrid w:val="0"/>
                <w:color w:val="000000"/>
                <w:sz w:val="24"/>
                <w:szCs w:val="24"/>
                <w:lang w:val="en-US" w:eastAsia="zh-CN" w:bidi="ar-SA"/>
              </w:rPr>
              <w:t>投标人提供：①项目管理架构；②人员岗位配置及职能运行图；③岗位职责分工。以上方案全部满足项目要求的得9分，每缺少一项的扣3分，每有一项存在不足的扣1.5分。 注：以上“不足”是指内语言存在歧义；内容具有明显缺陷；脱离了实际情况不具备实施的可能性等。</w:t>
            </w:r>
          </w:p>
        </w:tc>
        <w:tc>
          <w:tcPr>
            <w:tcW w:w="1230" w:type="dxa"/>
            <w:shd w:val="clear" w:color="auto" w:fill="auto"/>
            <w:noWrap w:val="0"/>
            <w:vAlign w:val="center"/>
          </w:tcPr>
          <w:p w14:paraId="6B95327E">
            <w:pPr>
              <w:pStyle w:val="44"/>
              <w:jc w:val="center"/>
              <w:rPr>
                <w:rFonts w:hint="eastAsia" w:ascii="宋体" w:hAnsi="宋体" w:eastAsia="宋体" w:cs="宋体"/>
                <w:snapToGrid w:val="0"/>
                <w:color w:val="000000"/>
                <w:sz w:val="24"/>
                <w:szCs w:val="24"/>
                <w:lang w:val="en-US" w:eastAsia="zh-Hans" w:bidi="ar-SA"/>
              </w:rPr>
            </w:pPr>
            <w:r>
              <w:rPr>
                <w:rFonts w:hint="eastAsia" w:ascii="宋体" w:hAnsi="宋体" w:eastAsia="宋体" w:cs="宋体"/>
                <w:snapToGrid w:val="0"/>
                <w:color w:val="000000"/>
                <w:sz w:val="24"/>
                <w:szCs w:val="24"/>
                <w:lang w:val="en-US" w:eastAsia="zh-CN" w:bidi="ar-SA"/>
              </w:rPr>
              <w:t>9分</w:t>
            </w:r>
          </w:p>
        </w:tc>
        <w:tc>
          <w:tcPr>
            <w:tcW w:w="1785" w:type="dxa"/>
            <w:shd w:val="clear" w:color="auto" w:fill="auto"/>
            <w:noWrap w:val="0"/>
            <w:vAlign w:val="center"/>
          </w:tcPr>
          <w:p w14:paraId="0448ED96">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投标人应提交的相关证明材料</w:t>
            </w:r>
          </w:p>
          <w:p w14:paraId="45C583BF">
            <w:pPr>
              <w:pStyle w:val="44"/>
              <w:jc w:val="center"/>
              <w:rPr>
                <w:rFonts w:hint="eastAsia" w:ascii="宋体" w:hAnsi="宋体" w:eastAsia="宋体" w:cs="宋体"/>
                <w:snapToGrid w:val="0"/>
                <w:color w:val="000000"/>
                <w:sz w:val="24"/>
                <w:szCs w:val="24"/>
                <w:lang w:val="en-US" w:eastAsia="zh-Hans" w:bidi="ar-SA"/>
              </w:rPr>
            </w:pPr>
            <w:r>
              <w:rPr>
                <w:rFonts w:hint="eastAsia" w:ascii="宋体" w:hAnsi="宋体" w:eastAsia="宋体" w:cs="宋体"/>
                <w:snapToGrid w:val="0"/>
                <w:color w:val="000000"/>
                <w:sz w:val="24"/>
                <w:szCs w:val="24"/>
                <w:lang w:val="en-US" w:eastAsia="zh-CN" w:bidi="ar-SA"/>
              </w:rPr>
              <w:t>服务应答表</w:t>
            </w:r>
          </w:p>
        </w:tc>
      </w:tr>
      <w:tr w14:paraId="1EFA2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9" w:hRule="atLeast"/>
          <w:jc w:val="center"/>
        </w:trPr>
        <w:tc>
          <w:tcPr>
            <w:tcW w:w="871" w:type="dxa"/>
            <w:vMerge w:val="restart"/>
            <w:noWrap w:val="0"/>
            <w:vAlign w:val="center"/>
          </w:tcPr>
          <w:p w14:paraId="072B8B45">
            <w:pPr>
              <w:jc w:val="center"/>
              <w:rPr>
                <w:rFonts w:hint="default" w:eastAsia="宋体"/>
                <w:highlight w:val="yellow"/>
                <w:lang w:val="en-US" w:eastAsia="zh-CN"/>
              </w:rPr>
            </w:pPr>
            <w:r>
              <w:rPr>
                <w:rFonts w:hint="eastAsia" w:ascii="宋体" w:hAnsi="宋体" w:eastAsia="宋体" w:cs="宋体"/>
                <w:snapToGrid w:val="0"/>
                <w:color w:val="000000"/>
                <w:sz w:val="24"/>
                <w:szCs w:val="24"/>
                <w:lang w:val="en-US" w:eastAsia="zh-CN" w:bidi="ar-SA"/>
              </w:rPr>
              <w:t>技术部分55分</w:t>
            </w:r>
          </w:p>
        </w:tc>
        <w:tc>
          <w:tcPr>
            <w:tcW w:w="1742" w:type="dxa"/>
            <w:noWrap w:val="0"/>
            <w:vAlign w:val="center"/>
          </w:tcPr>
          <w:p w14:paraId="63C00C48">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设备物料配置</w:t>
            </w:r>
          </w:p>
        </w:tc>
        <w:tc>
          <w:tcPr>
            <w:tcW w:w="4564" w:type="dxa"/>
            <w:noWrap w:val="0"/>
            <w:vAlign w:val="top"/>
          </w:tcPr>
          <w:p w14:paraId="258CF099">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投标人有使用以下设备的经验并为本项目配备：手推式洗地机、单擦机、吸水吸尘机、驾驶型洗地机、小型洗地机、吹风机、石材养护翻新机。每有一样设备得1分，本项目最多得7分。 （说明：投标人须提供设备产品的购置发票或租用的证明材料复印件）</w:t>
            </w:r>
            <w:bookmarkStart w:id="1059" w:name="_GoBack"/>
            <w:bookmarkEnd w:id="1059"/>
          </w:p>
        </w:tc>
        <w:tc>
          <w:tcPr>
            <w:tcW w:w="1230" w:type="dxa"/>
            <w:noWrap w:val="0"/>
            <w:vAlign w:val="center"/>
          </w:tcPr>
          <w:p w14:paraId="0B1C0482">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7分</w:t>
            </w:r>
          </w:p>
        </w:tc>
        <w:tc>
          <w:tcPr>
            <w:tcW w:w="1785" w:type="dxa"/>
            <w:noWrap w:val="0"/>
            <w:vAlign w:val="center"/>
          </w:tcPr>
          <w:p w14:paraId="4BA4F4BA">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服务应答表</w:t>
            </w:r>
          </w:p>
          <w:p w14:paraId="5B200917">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投标人应提交的相关证明材料</w:t>
            </w:r>
          </w:p>
        </w:tc>
      </w:tr>
      <w:tr w14:paraId="4761B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2" w:hRule="atLeast"/>
          <w:jc w:val="center"/>
        </w:trPr>
        <w:tc>
          <w:tcPr>
            <w:tcW w:w="871" w:type="dxa"/>
            <w:vMerge w:val="continue"/>
            <w:noWrap w:val="0"/>
            <w:vAlign w:val="center"/>
          </w:tcPr>
          <w:p w14:paraId="18A09CF9">
            <w:pPr>
              <w:jc w:val="center"/>
              <w:rPr>
                <w:highlight w:val="yellow"/>
              </w:rPr>
            </w:pPr>
          </w:p>
        </w:tc>
        <w:tc>
          <w:tcPr>
            <w:tcW w:w="1742" w:type="dxa"/>
            <w:noWrap w:val="0"/>
            <w:vAlign w:val="center"/>
          </w:tcPr>
          <w:p w14:paraId="17E1D674">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整体服务方案</w:t>
            </w:r>
          </w:p>
        </w:tc>
        <w:tc>
          <w:tcPr>
            <w:tcW w:w="4564" w:type="dxa"/>
            <w:noWrap w:val="0"/>
            <w:vAlign w:val="top"/>
          </w:tcPr>
          <w:p w14:paraId="2A999D3A">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根据供应商针对本项目提供的整体服务方案，方案包括但不限于：①本项目特点的分析理解；②项目服务方案的整体设想和策划；③项目服务整体方案目标定位和工作重点；④医院感染控制措施方面进行论述，以上方案全部满足项目要求的得8分，每缺少一项的扣2分，每有一项存在不足的扣1分。 注：以上“不足”是指内语言存在歧义；内容具有明显缺陷；脱离了实际情况不具备实施的可能性等。</w:t>
            </w:r>
          </w:p>
        </w:tc>
        <w:tc>
          <w:tcPr>
            <w:tcW w:w="1230" w:type="dxa"/>
            <w:noWrap w:val="0"/>
            <w:vAlign w:val="center"/>
          </w:tcPr>
          <w:p w14:paraId="35B3E7E5">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8分</w:t>
            </w:r>
          </w:p>
        </w:tc>
        <w:tc>
          <w:tcPr>
            <w:tcW w:w="1785" w:type="dxa"/>
            <w:noWrap w:val="0"/>
            <w:vAlign w:val="center"/>
          </w:tcPr>
          <w:p w14:paraId="41D783BA">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服务应答表</w:t>
            </w:r>
          </w:p>
          <w:p w14:paraId="5BA1DD7C">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投标人应提交的相关证明材料</w:t>
            </w:r>
          </w:p>
        </w:tc>
      </w:tr>
      <w:tr w14:paraId="767E9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3" w:hRule="atLeast"/>
          <w:jc w:val="center"/>
        </w:trPr>
        <w:tc>
          <w:tcPr>
            <w:tcW w:w="871" w:type="dxa"/>
            <w:vMerge w:val="continue"/>
            <w:noWrap w:val="0"/>
            <w:vAlign w:val="top"/>
          </w:tcPr>
          <w:p w14:paraId="3E4753FB">
            <w:pPr>
              <w:rPr>
                <w:highlight w:val="yellow"/>
              </w:rPr>
            </w:pPr>
          </w:p>
        </w:tc>
        <w:tc>
          <w:tcPr>
            <w:tcW w:w="1742" w:type="dxa"/>
            <w:noWrap w:val="0"/>
            <w:vAlign w:val="center"/>
          </w:tcPr>
          <w:p w14:paraId="6F50A6BB">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保洁服务方案</w:t>
            </w:r>
          </w:p>
        </w:tc>
        <w:tc>
          <w:tcPr>
            <w:tcW w:w="4564" w:type="dxa"/>
            <w:noWrap w:val="0"/>
            <w:vAlign w:val="top"/>
          </w:tcPr>
          <w:p w14:paraId="4877A27A">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根据供应商针对本项目提供的保洁服务方案，方案包括但不限于：①保洁服务岗位职责；②医院保洁作业重点及日常流程；③日常环境保洁作业标准；④日常专项保洁工作作业标准；⑤环境保洁设备管理办法作业标准；⑥清洁剂使用标准作业标准；⑦消杀消毒管理制度及工作标准；⑧着重考察本项目楼宇设置、重点科室分布具体保洁方案，以上方案全部满足项目要求的得16分，每缺少一项的扣2分，每有一项存在不足的扣1分。 注：以上“不足”是指内语言存在歧义；内容具有明显缺陷；脱离了实际情况不具备实施的可能性等。</w:t>
            </w:r>
          </w:p>
        </w:tc>
        <w:tc>
          <w:tcPr>
            <w:tcW w:w="1230" w:type="dxa"/>
            <w:noWrap w:val="0"/>
            <w:vAlign w:val="center"/>
          </w:tcPr>
          <w:p w14:paraId="1BC75425">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16分</w:t>
            </w:r>
          </w:p>
        </w:tc>
        <w:tc>
          <w:tcPr>
            <w:tcW w:w="1785" w:type="dxa"/>
            <w:noWrap w:val="0"/>
            <w:vAlign w:val="center"/>
          </w:tcPr>
          <w:p w14:paraId="7E21658D">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服务应答表</w:t>
            </w:r>
          </w:p>
          <w:p w14:paraId="5A044698">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投标人应提交的相关证明材料</w:t>
            </w:r>
          </w:p>
        </w:tc>
      </w:tr>
      <w:tr w14:paraId="31D7C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75" w:hRule="atLeast"/>
          <w:jc w:val="center"/>
        </w:trPr>
        <w:tc>
          <w:tcPr>
            <w:tcW w:w="871" w:type="dxa"/>
            <w:vMerge w:val="continue"/>
            <w:noWrap w:val="0"/>
            <w:vAlign w:val="top"/>
          </w:tcPr>
          <w:p w14:paraId="69882271">
            <w:pPr>
              <w:rPr>
                <w:highlight w:val="yellow"/>
              </w:rPr>
            </w:pPr>
          </w:p>
        </w:tc>
        <w:tc>
          <w:tcPr>
            <w:tcW w:w="1742" w:type="dxa"/>
            <w:noWrap w:val="0"/>
            <w:vAlign w:val="center"/>
          </w:tcPr>
          <w:p w14:paraId="1F86970A">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培训方案</w:t>
            </w:r>
          </w:p>
        </w:tc>
        <w:tc>
          <w:tcPr>
            <w:tcW w:w="4564" w:type="dxa"/>
            <w:noWrap w:val="0"/>
            <w:vAlign w:val="top"/>
          </w:tcPr>
          <w:p w14:paraId="4A6DA781">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根据供应商针对本项目提供的培训方案，方案包括但不限于：①手卫生；②医疗废物管理制度；③职业暴露与防护；④消毒隔离基本常识与流程；⑤医院感染管理方案；⑥床单元终末消毒，以上方案全部满足项目要求的得12分，每缺少一项的扣2分，每有一项存在不足的扣1分。 注：以上“不足”是指内语言存在歧义；内容具有明显缺陷；脱离了实际情况不具备实施的可能性等。</w:t>
            </w:r>
          </w:p>
        </w:tc>
        <w:tc>
          <w:tcPr>
            <w:tcW w:w="1230" w:type="dxa"/>
            <w:noWrap w:val="0"/>
            <w:vAlign w:val="center"/>
          </w:tcPr>
          <w:p w14:paraId="5D2D6ED4">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12分</w:t>
            </w:r>
          </w:p>
        </w:tc>
        <w:tc>
          <w:tcPr>
            <w:tcW w:w="1785" w:type="dxa"/>
            <w:noWrap w:val="0"/>
            <w:vAlign w:val="center"/>
          </w:tcPr>
          <w:p w14:paraId="1F2F4E0A">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服务应答表</w:t>
            </w:r>
          </w:p>
          <w:p w14:paraId="407BBE00">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投标人应提交的相关证明材料</w:t>
            </w:r>
          </w:p>
        </w:tc>
      </w:tr>
      <w:tr w14:paraId="58121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0" w:hRule="atLeast"/>
          <w:jc w:val="center"/>
        </w:trPr>
        <w:tc>
          <w:tcPr>
            <w:tcW w:w="871" w:type="dxa"/>
            <w:vMerge w:val="continue"/>
            <w:noWrap w:val="0"/>
            <w:vAlign w:val="top"/>
          </w:tcPr>
          <w:p w14:paraId="46B9AE24">
            <w:pPr>
              <w:rPr>
                <w:highlight w:val="yellow"/>
              </w:rPr>
            </w:pPr>
          </w:p>
        </w:tc>
        <w:tc>
          <w:tcPr>
            <w:tcW w:w="1742" w:type="dxa"/>
            <w:noWrap w:val="0"/>
            <w:vAlign w:val="center"/>
          </w:tcPr>
          <w:p w14:paraId="15F5CF1E">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应急处置方案</w:t>
            </w:r>
          </w:p>
        </w:tc>
        <w:tc>
          <w:tcPr>
            <w:tcW w:w="4564" w:type="dxa"/>
            <w:noWrap w:val="0"/>
            <w:vAlign w:val="top"/>
          </w:tcPr>
          <w:p w14:paraId="45C20361">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根据供应商针对本项目提供的应急处置方案，方案包括但不限于：①火灾；②水浸；③医疗废物丢失；④院感暴发事件；⑤社会安全事件；⑥聘用员工劳务纠纷，以上方案全部满足项目要求的得12分，每缺少一项的扣2分，每有一项存在不足的扣1分。 注：以上“不足”是指内语言存在歧义；内容具有明显缺陷；脱离了实际情况不具备实施的可能性等。</w:t>
            </w:r>
          </w:p>
        </w:tc>
        <w:tc>
          <w:tcPr>
            <w:tcW w:w="1230" w:type="dxa"/>
            <w:noWrap w:val="0"/>
            <w:vAlign w:val="center"/>
          </w:tcPr>
          <w:p w14:paraId="17113233">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12分</w:t>
            </w:r>
          </w:p>
        </w:tc>
        <w:tc>
          <w:tcPr>
            <w:tcW w:w="1785" w:type="dxa"/>
            <w:noWrap w:val="0"/>
            <w:vAlign w:val="center"/>
          </w:tcPr>
          <w:p w14:paraId="6A06000B">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服务应答表</w:t>
            </w:r>
          </w:p>
          <w:p w14:paraId="6BEADDF9">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投标人应提交的相关证明材料</w:t>
            </w:r>
          </w:p>
        </w:tc>
      </w:tr>
      <w:tr w14:paraId="532B2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jc w:val="center"/>
        </w:trPr>
        <w:tc>
          <w:tcPr>
            <w:tcW w:w="871" w:type="dxa"/>
            <w:noWrap w:val="0"/>
            <w:vAlign w:val="center"/>
          </w:tcPr>
          <w:p w14:paraId="4B2C886A">
            <w:pPr>
              <w:pStyle w:val="44"/>
              <w:jc w:val="center"/>
              <w:rPr>
                <w:rFonts w:hint="default"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价格部分30分</w:t>
            </w:r>
          </w:p>
        </w:tc>
        <w:tc>
          <w:tcPr>
            <w:tcW w:w="1742" w:type="dxa"/>
            <w:noWrap w:val="0"/>
            <w:vAlign w:val="center"/>
          </w:tcPr>
          <w:p w14:paraId="728DFC0F">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价格评分（30分）</w:t>
            </w:r>
          </w:p>
        </w:tc>
        <w:tc>
          <w:tcPr>
            <w:tcW w:w="4564" w:type="dxa"/>
            <w:noWrap w:val="0"/>
            <w:vAlign w:val="top"/>
          </w:tcPr>
          <w:p w14:paraId="1C991E7A">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满足招标文件要求且报价最低的为评审基准价，价格得分=（评审基准价/报价）×标准分值</w:t>
            </w:r>
          </w:p>
        </w:tc>
        <w:tc>
          <w:tcPr>
            <w:tcW w:w="1230" w:type="dxa"/>
            <w:noWrap w:val="0"/>
            <w:vAlign w:val="center"/>
          </w:tcPr>
          <w:p w14:paraId="4E09D651">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30分</w:t>
            </w:r>
          </w:p>
        </w:tc>
        <w:tc>
          <w:tcPr>
            <w:tcW w:w="1785" w:type="dxa"/>
            <w:noWrap w:val="0"/>
            <w:vAlign w:val="center"/>
          </w:tcPr>
          <w:p w14:paraId="1AF02EE2">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报价一览表</w:t>
            </w:r>
          </w:p>
          <w:p w14:paraId="29C445E7">
            <w:pPr>
              <w:pStyle w:val="44"/>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报价明细表</w:t>
            </w:r>
          </w:p>
        </w:tc>
      </w:tr>
    </w:tbl>
    <w:p w14:paraId="5590884E">
      <w:pPr>
        <w:pStyle w:val="2"/>
        <w:ind w:left="0" w:leftChars="0" w:firstLine="0" w:firstLineChars="0"/>
        <w:rPr>
          <w:rFonts w:hint="eastAsia"/>
          <w:lang w:eastAsia="zh-CN"/>
        </w:rPr>
      </w:pPr>
    </w:p>
    <w:p w14:paraId="39A750F9">
      <w:pPr>
        <w:spacing w:line="400" w:lineRule="exact"/>
        <w:outlineLvl w:val="1"/>
        <w:rPr>
          <w:rFonts w:ascii="宋体" w:hAnsi="宋体" w:cs="宋体"/>
          <w:b/>
          <w:bCs/>
          <w:color w:val="auto"/>
          <w:lang w:eastAsia="zh-CN"/>
        </w:rPr>
      </w:pPr>
      <w:r>
        <w:rPr>
          <w:rFonts w:hint="eastAsia" w:ascii="宋体" w:hAnsi="宋体" w:cs="宋体"/>
          <w:b/>
          <w:bCs/>
          <w:color w:val="auto"/>
          <w:lang w:eastAsia="zh-CN"/>
        </w:rPr>
        <w:t>1.评审方法</w:t>
      </w:r>
      <w:bookmarkEnd w:id="825"/>
      <w:bookmarkEnd w:id="826"/>
      <w:bookmarkEnd w:id="827"/>
      <w:bookmarkEnd w:id="828"/>
      <w:bookmarkEnd w:id="829"/>
      <w:bookmarkEnd w:id="830"/>
      <w:bookmarkEnd w:id="831"/>
      <w:bookmarkEnd w:id="832"/>
    </w:p>
    <w:p w14:paraId="3572A660">
      <w:pPr>
        <w:spacing w:line="400" w:lineRule="exact"/>
        <w:ind w:firstLine="420"/>
        <w:rPr>
          <w:rFonts w:ascii="宋体" w:hAnsi="宋体" w:cs="宋体"/>
          <w:color w:val="auto"/>
          <w:lang w:eastAsia="zh-CN"/>
        </w:rPr>
      </w:pPr>
      <w:r>
        <w:rPr>
          <w:rFonts w:hint="eastAsia" w:ascii="宋体" w:hAnsi="宋体" w:cs="宋体"/>
          <w:color w:val="auto"/>
          <w:lang w:eastAsia="zh-CN" w:bidi="en-US"/>
        </w:rPr>
        <w:t>1.1本次评审采用综合评分法。磋商小组对满足竞争性磋商文件实质性要求的响应文件</w:t>
      </w:r>
      <w:r>
        <w:rPr>
          <w:rFonts w:hint="eastAsia" w:ascii="宋体" w:hAnsi="宋体" w:cs="宋体"/>
          <w:color w:val="auto"/>
          <w:lang w:eastAsia="zh-CN"/>
        </w:rPr>
        <w:t>，按照本章规定的评分标准进行打分，并按得分由高到低顺序推荐成交候选人，综合评分相等时，以报价得分高的优先；报价得分也相等的，由采购人自行确定。</w:t>
      </w:r>
      <w:bookmarkStart w:id="833" w:name="_Toc152042378"/>
      <w:bookmarkStart w:id="834" w:name="_Toc6612"/>
      <w:bookmarkStart w:id="835" w:name="_Toc144974568"/>
      <w:bookmarkStart w:id="836" w:name="_Toc24936"/>
      <w:bookmarkStart w:id="837" w:name="_Toc26131"/>
      <w:bookmarkStart w:id="838" w:name="_Toc466298140"/>
      <w:bookmarkStart w:id="839" w:name="_Toc318450723"/>
      <w:bookmarkStart w:id="840" w:name="_Toc490667876"/>
      <w:bookmarkStart w:id="841" w:name="_Toc455867817"/>
      <w:bookmarkStart w:id="842" w:name="_Toc455080157"/>
      <w:bookmarkStart w:id="843" w:name="_Toc29362"/>
      <w:bookmarkStart w:id="844" w:name="_Toc20837"/>
      <w:bookmarkStart w:id="845" w:name="_Toc152045601"/>
      <w:bookmarkStart w:id="846" w:name="_Toc281405529"/>
    </w:p>
    <w:p w14:paraId="4DD1DA60">
      <w:pPr>
        <w:spacing w:line="400" w:lineRule="exact"/>
        <w:ind w:firstLine="420"/>
        <w:rPr>
          <w:rFonts w:ascii="宋体" w:hAnsi="宋体" w:cs="宋体"/>
          <w:color w:val="auto"/>
          <w:lang w:eastAsia="zh-CN"/>
        </w:rPr>
      </w:pPr>
      <w:r>
        <w:rPr>
          <w:rFonts w:hint="eastAsia" w:ascii="宋体" w:hAnsi="宋体" w:cs="宋体"/>
          <w:color w:val="auto"/>
          <w:lang w:eastAsia="zh-CN"/>
        </w:rPr>
        <w:t>1.2经评标委员会初步评审后有效投标不足3个的，评标委员会应予废标。</w:t>
      </w:r>
    </w:p>
    <w:p w14:paraId="719D1365">
      <w:pPr>
        <w:spacing w:line="400" w:lineRule="exact"/>
        <w:outlineLvl w:val="1"/>
        <w:rPr>
          <w:rFonts w:ascii="宋体" w:hAnsi="宋体" w:cs="宋体"/>
          <w:b/>
          <w:bCs/>
          <w:color w:val="auto"/>
          <w:lang w:eastAsia="zh-CN"/>
        </w:rPr>
      </w:pPr>
      <w:r>
        <w:rPr>
          <w:rFonts w:hint="eastAsia" w:ascii="宋体" w:hAnsi="宋体" w:cs="宋体"/>
          <w:b/>
          <w:bCs/>
          <w:color w:val="auto"/>
          <w:lang w:eastAsia="zh-CN"/>
        </w:rPr>
        <w:t>2.评审标准</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Start w:id="847" w:name="_Toc25637"/>
      <w:bookmarkStart w:id="848" w:name="_Toc144974569"/>
      <w:bookmarkStart w:id="849" w:name="_Toc11223"/>
      <w:bookmarkStart w:id="850" w:name="_Toc19934"/>
      <w:bookmarkStart w:id="851" w:name="_Toc152042379"/>
      <w:bookmarkStart w:id="852" w:name="_Toc152045602"/>
      <w:bookmarkStart w:id="853" w:name="_Toc2867"/>
      <w:bookmarkStart w:id="854" w:name="_Toc31037"/>
      <w:bookmarkStart w:id="855" w:name="_Toc318450724"/>
      <w:bookmarkStart w:id="856" w:name="_Toc455080158"/>
      <w:bookmarkStart w:id="857" w:name="_Toc15813"/>
      <w:bookmarkStart w:id="858" w:name="_Toc455867818"/>
      <w:bookmarkStart w:id="859" w:name="_Toc490667877"/>
      <w:bookmarkStart w:id="860" w:name="_Toc466298141"/>
      <w:bookmarkStart w:id="861" w:name="_Toc24558"/>
      <w:bookmarkStart w:id="862" w:name="_Toc6711"/>
      <w:bookmarkStart w:id="863" w:name="_Toc21120"/>
      <w:bookmarkStart w:id="864" w:name="_Toc281405530"/>
    </w:p>
    <w:p w14:paraId="49BE89DD">
      <w:pPr>
        <w:spacing w:line="400" w:lineRule="exact"/>
        <w:outlineLvl w:val="2"/>
        <w:rPr>
          <w:rFonts w:ascii="宋体" w:hAnsi="宋体" w:cs="宋体"/>
          <w:b/>
          <w:bCs/>
          <w:color w:val="auto"/>
          <w:lang w:eastAsia="zh-CN"/>
        </w:rPr>
      </w:pPr>
      <w:r>
        <w:rPr>
          <w:rFonts w:hint="eastAsia" w:ascii="宋体" w:hAnsi="宋体" w:cs="宋体"/>
          <w:b/>
          <w:bCs/>
          <w:color w:val="auto"/>
          <w:lang w:eastAsia="zh-CN"/>
        </w:rPr>
        <w:t>2.1 初步评审标准</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24CB6674">
      <w:pPr>
        <w:spacing w:line="400" w:lineRule="exact"/>
        <w:ind w:firstLine="420"/>
        <w:rPr>
          <w:rFonts w:ascii="宋体" w:hAnsi="宋体" w:cs="宋体"/>
          <w:color w:val="auto"/>
          <w:lang w:eastAsia="zh-CN"/>
        </w:rPr>
      </w:pPr>
      <w:r>
        <w:rPr>
          <w:rFonts w:hint="eastAsia" w:ascii="宋体" w:hAnsi="宋体" w:cs="宋体"/>
          <w:color w:val="auto"/>
          <w:lang w:eastAsia="zh-CN"/>
        </w:rPr>
        <w:t>2.1.1 资格检查评审标准：见评审办法前附表。</w:t>
      </w:r>
    </w:p>
    <w:p w14:paraId="58EB7846">
      <w:pPr>
        <w:spacing w:line="400" w:lineRule="exact"/>
        <w:ind w:firstLine="420"/>
        <w:rPr>
          <w:rFonts w:ascii="宋体" w:hAnsi="宋体" w:cs="宋体"/>
          <w:color w:val="auto"/>
          <w:lang w:eastAsia="zh-CN"/>
        </w:rPr>
      </w:pPr>
      <w:r>
        <w:rPr>
          <w:rFonts w:hint="eastAsia" w:ascii="宋体" w:hAnsi="宋体" w:cs="宋体"/>
          <w:color w:val="auto"/>
          <w:lang w:eastAsia="zh-CN"/>
        </w:rPr>
        <w:t>2.1.2 符合性检查评审标准：见评审办法前附表。</w:t>
      </w:r>
    </w:p>
    <w:p w14:paraId="6FDDC400">
      <w:pPr>
        <w:pStyle w:val="37"/>
        <w:ind w:firstLine="422" w:firstLineChars="0"/>
        <w:outlineLvl w:val="2"/>
        <w:rPr>
          <w:rFonts w:ascii="宋体" w:hAnsi="宋体" w:eastAsia="宋体"/>
          <w:b/>
          <w:bCs/>
          <w:color w:val="auto"/>
          <w:sz w:val="21"/>
          <w:szCs w:val="21"/>
          <w:lang w:eastAsia="zh-CN"/>
        </w:rPr>
      </w:pPr>
      <w:bookmarkStart w:id="865" w:name="_Toc21970"/>
      <w:bookmarkStart w:id="866" w:name="_Toc30189"/>
      <w:bookmarkStart w:id="867" w:name="_Toc26179"/>
      <w:bookmarkStart w:id="868" w:name="_Toc5833"/>
      <w:bookmarkStart w:id="869" w:name="_Toc318450725"/>
      <w:bookmarkStart w:id="870" w:name="_Toc12013"/>
      <w:bookmarkStart w:id="871" w:name="_Toc152045603"/>
      <w:bookmarkStart w:id="872" w:name="_Toc7284"/>
      <w:bookmarkStart w:id="873" w:name="_Toc466298142"/>
      <w:bookmarkStart w:id="874" w:name="_Toc202"/>
      <w:bookmarkStart w:id="875" w:name="_Toc22439"/>
      <w:bookmarkStart w:id="876" w:name="_Toc152042380"/>
      <w:bookmarkStart w:id="877" w:name="_Toc11061"/>
      <w:bookmarkStart w:id="878" w:name="_Toc144974570"/>
      <w:bookmarkStart w:id="879" w:name="_Toc455080159"/>
      <w:bookmarkStart w:id="880" w:name="_Toc490667878"/>
      <w:bookmarkStart w:id="881" w:name="_Toc281405531"/>
      <w:bookmarkStart w:id="882" w:name="_Toc455867819"/>
      <w:bookmarkStart w:id="883" w:name="_Toc24825"/>
      <w:bookmarkStart w:id="884" w:name="_Toc25492"/>
      <w:r>
        <w:rPr>
          <w:rFonts w:hint="eastAsia" w:ascii="宋体" w:hAnsi="宋体" w:eastAsia="宋体"/>
          <w:b/>
          <w:bCs/>
          <w:color w:val="auto"/>
          <w:sz w:val="21"/>
          <w:szCs w:val="21"/>
          <w:lang w:eastAsia="zh-CN"/>
        </w:rPr>
        <w:t>2.2 分值构成与评分标准</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1018CAFE">
      <w:pPr>
        <w:spacing w:line="400" w:lineRule="exact"/>
        <w:ind w:firstLine="210" w:firstLineChars="100"/>
        <w:rPr>
          <w:rFonts w:ascii="宋体" w:hAnsi="宋体" w:cs="宋体"/>
          <w:color w:val="auto"/>
          <w:lang w:eastAsia="zh-CN"/>
        </w:rPr>
      </w:pPr>
      <w:r>
        <w:rPr>
          <w:rFonts w:hint="eastAsia" w:ascii="宋体" w:hAnsi="宋体" w:cs="宋体"/>
          <w:color w:val="auto"/>
          <w:lang w:eastAsia="zh-CN"/>
        </w:rPr>
        <w:t>（1）商务标：见评审办法前附表；</w:t>
      </w:r>
    </w:p>
    <w:p w14:paraId="6DCAE235">
      <w:pPr>
        <w:spacing w:line="400" w:lineRule="exact"/>
        <w:ind w:firstLine="210" w:firstLineChars="100"/>
        <w:rPr>
          <w:rFonts w:ascii="宋体" w:hAnsi="宋体" w:cs="宋体"/>
          <w:color w:val="auto"/>
          <w:lang w:eastAsia="zh-CN"/>
        </w:rPr>
      </w:pPr>
      <w:r>
        <w:rPr>
          <w:rFonts w:hint="eastAsia" w:ascii="宋体" w:hAnsi="宋体" w:cs="宋体"/>
          <w:color w:val="auto"/>
          <w:lang w:eastAsia="zh-CN"/>
        </w:rPr>
        <w:t>（2）技术标：见评审办法前附表；</w:t>
      </w:r>
    </w:p>
    <w:p w14:paraId="24F728BB">
      <w:pPr>
        <w:spacing w:line="400" w:lineRule="exact"/>
        <w:ind w:firstLine="210" w:firstLineChars="100"/>
        <w:rPr>
          <w:rFonts w:ascii="宋体" w:hAnsi="宋体" w:cs="宋体"/>
          <w:color w:val="auto"/>
          <w:lang w:eastAsia="zh-CN"/>
        </w:rPr>
      </w:pPr>
      <w:r>
        <w:rPr>
          <w:rFonts w:hint="eastAsia" w:ascii="宋体" w:hAnsi="宋体" w:cs="宋体"/>
          <w:color w:val="auto"/>
          <w:lang w:eastAsia="zh-CN"/>
        </w:rPr>
        <w:t>（3）磋商报价：见评审办法前附表。</w:t>
      </w:r>
    </w:p>
    <w:p w14:paraId="518081F0">
      <w:pPr>
        <w:pStyle w:val="33"/>
        <w:ind w:firstLine="422" w:firstLineChars="0"/>
        <w:outlineLvl w:val="1"/>
        <w:rPr>
          <w:rFonts w:ascii="宋体" w:hAnsi="宋体"/>
          <w:b/>
          <w:bCs/>
          <w:color w:val="auto"/>
          <w:sz w:val="21"/>
          <w:szCs w:val="21"/>
          <w:lang w:eastAsia="zh-CN"/>
        </w:rPr>
      </w:pPr>
      <w:bookmarkStart w:id="885" w:name="_Toc455080160"/>
      <w:bookmarkStart w:id="886" w:name="_Toc16479"/>
      <w:bookmarkStart w:id="887" w:name="_Toc15821"/>
      <w:bookmarkStart w:id="888" w:name="_Toc466298143"/>
      <w:bookmarkStart w:id="889" w:name="_Toc32314"/>
      <w:bookmarkStart w:id="890" w:name="_Toc318450726"/>
      <w:bookmarkStart w:id="891" w:name="_Toc31620"/>
      <w:bookmarkStart w:id="892" w:name="_Toc455867820"/>
      <w:bookmarkStart w:id="893" w:name="_Toc18127"/>
      <w:bookmarkStart w:id="894" w:name="_Toc490667879"/>
      <w:bookmarkStart w:id="895" w:name="_Toc17308"/>
      <w:bookmarkStart w:id="896" w:name="_Toc29297"/>
      <w:bookmarkStart w:id="897" w:name="_Toc281405532"/>
      <w:r>
        <w:rPr>
          <w:rFonts w:hint="eastAsia" w:ascii="宋体" w:hAnsi="宋体"/>
          <w:b/>
          <w:bCs/>
          <w:color w:val="auto"/>
          <w:sz w:val="21"/>
          <w:szCs w:val="21"/>
          <w:lang w:eastAsia="zh-CN"/>
        </w:rPr>
        <w:t>3. 评审程序</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1895C8CE">
      <w:pPr>
        <w:pStyle w:val="37"/>
        <w:ind w:firstLine="422" w:firstLineChars="0"/>
        <w:outlineLvl w:val="2"/>
        <w:rPr>
          <w:rFonts w:ascii="宋体" w:hAnsi="宋体" w:eastAsia="宋体"/>
          <w:b/>
          <w:bCs/>
          <w:color w:val="auto"/>
          <w:sz w:val="21"/>
          <w:szCs w:val="21"/>
          <w:lang w:eastAsia="zh-CN"/>
        </w:rPr>
      </w:pPr>
      <w:bookmarkStart w:id="898" w:name="_Toc466298144"/>
      <w:bookmarkStart w:id="899" w:name="_Toc29092"/>
      <w:bookmarkStart w:id="900" w:name="_Toc18349"/>
      <w:bookmarkStart w:id="901" w:name="_Toc16892"/>
      <w:bookmarkStart w:id="902" w:name="_Toc2410"/>
      <w:bookmarkStart w:id="903" w:name="_Toc318450727"/>
      <w:bookmarkStart w:id="904" w:name="_Toc30986"/>
      <w:bookmarkStart w:id="905" w:name="_Toc455867821"/>
      <w:bookmarkStart w:id="906" w:name="_Toc5427"/>
      <w:bookmarkStart w:id="907" w:name="_Toc29614"/>
      <w:bookmarkStart w:id="908" w:name="_Toc9433"/>
      <w:bookmarkStart w:id="909" w:name="_Toc455080161"/>
      <w:bookmarkStart w:id="910" w:name="_Toc15066"/>
      <w:bookmarkStart w:id="911" w:name="_Toc18886"/>
      <w:bookmarkStart w:id="912" w:name="_Toc490667880"/>
      <w:bookmarkStart w:id="913" w:name="_Toc281405533"/>
      <w:bookmarkStart w:id="914" w:name="_Toc7272"/>
      <w:bookmarkStart w:id="915" w:name="_Toc14633"/>
      <w:r>
        <w:rPr>
          <w:rFonts w:hint="eastAsia" w:ascii="宋体" w:hAnsi="宋体" w:eastAsia="宋体"/>
          <w:b/>
          <w:bCs/>
          <w:color w:val="auto"/>
          <w:sz w:val="21"/>
          <w:szCs w:val="21"/>
          <w:lang w:eastAsia="zh-CN"/>
        </w:rPr>
        <w:t>3.1 初步评审</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1518F9E4">
      <w:pPr>
        <w:spacing w:line="400" w:lineRule="exact"/>
        <w:ind w:firstLine="420"/>
        <w:rPr>
          <w:rFonts w:ascii="宋体" w:hAnsi="宋体" w:cs="宋体"/>
          <w:b/>
          <w:bCs/>
          <w:color w:val="auto"/>
          <w:lang w:eastAsia="zh-CN"/>
        </w:rPr>
      </w:pPr>
      <w:bookmarkStart w:id="916" w:name="_Toc21570"/>
      <w:bookmarkStart w:id="917" w:name="_Toc455080162"/>
      <w:bookmarkStart w:id="918" w:name="_Toc490667881"/>
      <w:bookmarkStart w:id="919" w:name="_Toc12406"/>
      <w:bookmarkStart w:id="920" w:name="_Toc13386"/>
      <w:bookmarkStart w:id="921" w:name="_Toc455867822"/>
      <w:bookmarkStart w:id="922" w:name="_Toc7121"/>
      <w:bookmarkStart w:id="923" w:name="_Toc21032"/>
      <w:bookmarkStart w:id="924" w:name="_Toc26280"/>
      <w:bookmarkStart w:id="925" w:name="_Toc22101"/>
      <w:bookmarkStart w:id="926" w:name="_Toc466298145"/>
      <w:bookmarkStart w:id="927" w:name="_Toc16964"/>
      <w:bookmarkStart w:id="928" w:name="_Toc281405534"/>
      <w:bookmarkStart w:id="929" w:name="_Toc10692"/>
      <w:bookmarkStart w:id="930" w:name="_Toc318450728"/>
      <w:bookmarkStart w:id="931" w:name="_Toc26049"/>
      <w:r>
        <w:rPr>
          <w:rFonts w:hint="eastAsia" w:ascii="宋体" w:hAnsi="宋体" w:cs="宋体"/>
          <w:color w:val="auto"/>
          <w:lang w:eastAsia="zh-CN"/>
        </w:rPr>
        <w:t>3.1.1只有通过资格审查的供应商才能进入符合性评审。评标委员会依据2.1.2规定的内容和标准对响应文件进行符合性审查。</w:t>
      </w:r>
      <w:r>
        <w:rPr>
          <w:rFonts w:hint="eastAsia" w:ascii="宋体" w:hAnsi="宋体" w:cs="宋体"/>
          <w:b/>
          <w:bCs/>
          <w:color w:val="auto"/>
          <w:lang w:eastAsia="zh-CN"/>
        </w:rPr>
        <w:t>有一项不符合评审标准的，其投标做无效投标处理，不得进入详细评审。</w:t>
      </w:r>
    </w:p>
    <w:p w14:paraId="7C120E8A">
      <w:pPr>
        <w:spacing w:line="400" w:lineRule="exact"/>
        <w:ind w:firstLine="420"/>
        <w:rPr>
          <w:rFonts w:ascii="宋体" w:hAnsi="宋体" w:cs="宋体"/>
          <w:color w:val="auto"/>
          <w:lang w:eastAsia="zh-CN"/>
        </w:rPr>
      </w:pPr>
      <w:r>
        <w:rPr>
          <w:rFonts w:hint="eastAsia" w:ascii="宋体" w:hAnsi="宋体" w:cs="宋体"/>
          <w:color w:val="auto"/>
          <w:lang w:eastAsia="zh-CN"/>
        </w:rPr>
        <w:t>3.1.2 供应商有以下情形之一的，其响应文件作无效处理：</w:t>
      </w:r>
    </w:p>
    <w:p w14:paraId="0BBB0674">
      <w:pPr>
        <w:spacing w:line="400" w:lineRule="exact"/>
        <w:ind w:firstLine="210" w:firstLineChars="100"/>
        <w:rPr>
          <w:rFonts w:ascii="宋体" w:hAnsi="宋体" w:cs="宋体"/>
          <w:color w:val="auto"/>
          <w:lang w:eastAsia="zh-CN"/>
        </w:rPr>
      </w:pPr>
      <w:r>
        <w:rPr>
          <w:rFonts w:hint="eastAsia" w:ascii="宋体" w:hAnsi="宋体" w:cs="宋体"/>
          <w:color w:val="auto"/>
          <w:lang w:eastAsia="zh-CN"/>
        </w:rPr>
        <w:t>（1）串通或弄虚作假或有其他违法行为的；</w:t>
      </w:r>
    </w:p>
    <w:p w14:paraId="4D7D9A6E">
      <w:pPr>
        <w:spacing w:line="400" w:lineRule="exact"/>
        <w:ind w:firstLine="210" w:firstLineChars="100"/>
        <w:rPr>
          <w:rFonts w:ascii="宋体" w:hAnsi="宋体" w:cs="宋体"/>
          <w:color w:val="auto"/>
          <w:lang w:eastAsia="zh-CN"/>
        </w:rPr>
      </w:pPr>
      <w:r>
        <w:rPr>
          <w:rFonts w:hint="eastAsia" w:ascii="宋体" w:hAnsi="宋体" w:cs="宋体"/>
          <w:color w:val="auto"/>
          <w:lang w:eastAsia="zh-CN"/>
        </w:rPr>
        <w:t>（2）不按磋商小组要求澄清、说明或补正的；</w:t>
      </w:r>
    </w:p>
    <w:p w14:paraId="616C7009">
      <w:pPr>
        <w:spacing w:line="400" w:lineRule="exact"/>
        <w:ind w:firstLine="210" w:firstLineChars="100"/>
        <w:rPr>
          <w:rFonts w:ascii="宋体" w:hAnsi="宋体" w:cs="宋体"/>
          <w:color w:val="auto"/>
          <w:lang w:eastAsia="zh-CN"/>
        </w:rPr>
      </w:pPr>
      <w:r>
        <w:rPr>
          <w:rFonts w:hint="eastAsia" w:ascii="宋体" w:hAnsi="宋体" w:cs="宋体"/>
          <w:color w:val="auto"/>
          <w:lang w:eastAsia="zh-CN"/>
        </w:rPr>
        <w:t>（3）未按规定格式填写、内容不全或关键字迹模糊、无法辨认的；</w:t>
      </w:r>
    </w:p>
    <w:p w14:paraId="0F81EBD2">
      <w:pPr>
        <w:spacing w:line="400" w:lineRule="exact"/>
        <w:ind w:firstLine="210" w:firstLineChars="100"/>
        <w:rPr>
          <w:rFonts w:ascii="宋体" w:hAnsi="宋体" w:cs="宋体"/>
          <w:color w:val="auto"/>
          <w:lang w:eastAsia="zh-CN"/>
        </w:rPr>
      </w:pPr>
      <w:r>
        <w:rPr>
          <w:rFonts w:hint="eastAsia" w:ascii="宋体" w:hAnsi="宋体" w:cs="宋体"/>
          <w:color w:val="auto"/>
          <w:lang w:eastAsia="zh-CN"/>
        </w:rPr>
        <w:t>（4）响应文件附有采购人不能接受的条件；</w:t>
      </w:r>
    </w:p>
    <w:p w14:paraId="3A2137EC">
      <w:pPr>
        <w:spacing w:line="400" w:lineRule="exact"/>
        <w:ind w:firstLine="210" w:firstLineChars="100"/>
        <w:rPr>
          <w:rFonts w:ascii="宋体" w:hAnsi="宋体" w:cs="宋体"/>
          <w:color w:val="auto"/>
          <w:lang w:eastAsia="zh-CN"/>
        </w:rPr>
      </w:pPr>
      <w:r>
        <w:rPr>
          <w:rFonts w:hint="eastAsia" w:ascii="宋体" w:hAnsi="宋体" w:cs="宋体"/>
          <w:color w:val="auto"/>
          <w:lang w:eastAsia="zh-CN"/>
        </w:rPr>
        <w:t>（5）不符合竞争性磋商文件规定的其他实质性要求。</w:t>
      </w:r>
    </w:p>
    <w:p w14:paraId="4DECA874">
      <w:pPr>
        <w:pStyle w:val="37"/>
        <w:ind w:firstLine="422" w:firstLineChars="0"/>
        <w:outlineLvl w:val="2"/>
        <w:rPr>
          <w:rFonts w:ascii="宋体" w:hAnsi="宋体" w:eastAsia="宋体"/>
          <w:b/>
          <w:bCs/>
          <w:color w:val="auto"/>
          <w:sz w:val="21"/>
          <w:szCs w:val="21"/>
          <w:lang w:eastAsia="zh-CN"/>
        </w:rPr>
      </w:pPr>
      <w:bookmarkStart w:id="932" w:name="_Toc1862"/>
      <w:bookmarkStart w:id="933" w:name="_Toc26230"/>
      <w:r>
        <w:rPr>
          <w:rFonts w:hint="eastAsia" w:ascii="宋体" w:hAnsi="宋体" w:eastAsia="宋体"/>
          <w:b/>
          <w:bCs/>
          <w:color w:val="auto"/>
          <w:sz w:val="21"/>
          <w:szCs w:val="21"/>
          <w:lang w:eastAsia="zh-CN"/>
        </w:rPr>
        <w:t>3.2 详细评审</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2D46D3C3">
      <w:pPr>
        <w:spacing w:line="400" w:lineRule="exact"/>
        <w:ind w:firstLine="420"/>
        <w:rPr>
          <w:rFonts w:ascii="宋体" w:hAnsi="宋体" w:cs="宋体"/>
          <w:color w:val="auto"/>
          <w:lang w:eastAsia="zh-CN"/>
        </w:rPr>
      </w:pPr>
      <w:r>
        <w:rPr>
          <w:rFonts w:hint="eastAsia" w:ascii="宋体" w:hAnsi="宋体" w:cs="宋体"/>
          <w:color w:val="auto"/>
          <w:lang w:eastAsia="zh-CN"/>
        </w:rPr>
        <w:t>3.2.1 磋商小组按本章第2.2款规定的量化因素和分值进行打分，并计算出综合评分得分。</w:t>
      </w:r>
    </w:p>
    <w:p w14:paraId="0B2EB1E5">
      <w:pPr>
        <w:spacing w:line="400" w:lineRule="exact"/>
        <w:ind w:firstLine="420"/>
        <w:rPr>
          <w:rFonts w:ascii="宋体" w:hAnsi="宋体" w:cs="宋体"/>
          <w:color w:val="auto"/>
          <w:lang w:eastAsia="zh-CN"/>
        </w:rPr>
      </w:pPr>
      <w:r>
        <w:rPr>
          <w:rFonts w:hint="eastAsia" w:ascii="宋体" w:hAnsi="宋体" w:cs="宋体"/>
          <w:color w:val="auto"/>
          <w:lang w:eastAsia="zh-CN"/>
        </w:rPr>
        <w:t>3.2.2 评分分值计算保留小数点后两位，小数点后第三位“四舍五入”。</w:t>
      </w:r>
    </w:p>
    <w:p w14:paraId="6E18F8AB">
      <w:pPr>
        <w:spacing w:line="400" w:lineRule="exact"/>
        <w:ind w:firstLine="420"/>
        <w:rPr>
          <w:rFonts w:ascii="宋体" w:hAnsi="宋体" w:cs="宋体"/>
          <w:color w:val="auto"/>
          <w:lang w:eastAsia="zh-CN"/>
        </w:rPr>
      </w:pPr>
      <w:r>
        <w:rPr>
          <w:rFonts w:hint="eastAsia" w:ascii="宋体" w:hAnsi="宋体" w:cs="宋体"/>
          <w:color w:val="auto"/>
          <w:lang w:eastAsia="zh-CN"/>
        </w:rPr>
        <w:t>3.2.3供应商的最终得分以全部小组成员打分的算术平均值为准，作为该供应商的最终得分。</w:t>
      </w:r>
    </w:p>
    <w:p w14:paraId="4122A629">
      <w:pPr>
        <w:spacing w:line="400" w:lineRule="exact"/>
        <w:ind w:firstLine="420"/>
        <w:rPr>
          <w:rFonts w:ascii="宋体" w:hAnsi="宋体" w:cs="宋体"/>
          <w:color w:val="auto"/>
          <w:lang w:eastAsia="zh-CN"/>
        </w:rPr>
      </w:pPr>
      <w:r>
        <w:rPr>
          <w:rFonts w:hint="eastAsia" w:ascii="宋体" w:hAnsi="宋体" w:cs="宋体"/>
          <w:color w:val="auto"/>
          <w:lang w:eastAsia="zh-CN"/>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7497C2B2">
      <w:pPr>
        <w:pStyle w:val="37"/>
        <w:ind w:firstLine="422" w:firstLineChars="0"/>
        <w:outlineLvl w:val="2"/>
        <w:rPr>
          <w:rFonts w:ascii="宋体" w:hAnsi="宋体" w:eastAsia="宋体"/>
          <w:b/>
          <w:bCs/>
          <w:color w:val="auto"/>
          <w:sz w:val="21"/>
          <w:szCs w:val="21"/>
          <w:lang w:eastAsia="zh-CN"/>
        </w:rPr>
      </w:pPr>
      <w:bookmarkStart w:id="934" w:name="_Toc331"/>
      <w:bookmarkStart w:id="935" w:name="_Toc466298146"/>
      <w:bookmarkStart w:id="936" w:name="_Toc20542"/>
      <w:bookmarkStart w:id="937" w:name="_Toc318450729"/>
      <w:bookmarkStart w:id="938" w:name="_Toc28633"/>
      <w:bookmarkStart w:id="939" w:name="_Toc8342"/>
      <w:bookmarkStart w:id="940" w:name="_Toc8813"/>
      <w:bookmarkStart w:id="941" w:name="_Toc455080163"/>
      <w:bookmarkStart w:id="942" w:name="_Toc24862"/>
      <w:bookmarkStart w:id="943" w:name="_Toc11958"/>
      <w:bookmarkStart w:id="944" w:name="_Toc490667882"/>
      <w:bookmarkStart w:id="945" w:name="_Toc4349"/>
      <w:bookmarkStart w:id="946" w:name="_Toc22084"/>
      <w:bookmarkStart w:id="947" w:name="_Toc281405535"/>
      <w:bookmarkStart w:id="948" w:name="_Toc10153"/>
      <w:bookmarkStart w:id="949" w:name="_Toc2657"/>
      <w:bookmarkStart w:id="950" w:name="_Toc455867823"/>
      <w:bookmarkStart w:id="951" w:name="_Toc12374"/>
      <w:r>
        <w:rPr>
          <w:rFonts w:hint="eastAsia" w:ascii="宋体" w:hAnsi="宋体" w:eastAsia="宋体"/>
          <w:b/>
          <w:bCs/>
          <w:color w:val="auto"/>
          <w:sz w:val="21"/>
          <w:szCs w:val="21"/>
          <w:lang w:eastAsia="zh-CN"/>
        </w:rPr>
        <w:t>3.3 响应文件的澄清和补正</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739A8188">
      <w:pPr>
        <w:spacing w:line="400" w:lineRule="exact"/>
        <w:ind w:firstLine="420"/>
        <w:rPr>
          <w:rFonts w:ascii="宋体" w:hAnsi="宋体" w:cs="宋体"/>
          <w:color w:val="auto"/>
          <w:lang w:eastAsia="zh-CN"/>
        </w:rPr>
      </w:pPr>
      <w:r>
        <w:rPr>
          <w:rFonts w:hint="eastAsia" w:ascii="宋体" w:hAnsi="宋体" w:cs="宋体"/>
          <w:color w:val="auto"/>
          <w:lang w:eastAsia="zh-CN"/>
        </w:rPr>
        <w:t>3.3.1在磋商过程中，磋商小组可以书面形式要求供应商对所提交的响应文件中不明确的内容进行书面澄清或说明，或者对细微偏离进行补正。磋商小组不接受供应商主动提出的澄清、说明或补正。</w:t>
      </w:r>
    </w:p>
    <w:p w14:paraId="6EA4E757">
      <w:pPr>
        <w:spacing w:line="400" w:lineRule="exact"/>
        <w:ind w:firstLine="420"/>
        <w:rPr>
          <w:rFonts w:ascii="宋体" w:hAnsi="宋体" w:cs="宋体"/>
          <w:color w:val="auto"/>
          <w:lang w:eastAsia="zh-CN"/>
        </w:rPr>
      </w:pPr>
      <w:r>
        <w:rPr>
          <w:rFonts w:hint="eastAsia" w:ascii="宋体" w:hAnsi="宋体" w:cs="宋体"/>
          <w:color w:val="auto"/>
          <w:lang w:eastAsia="zh-CN"/>
        </w:rPr>
        <w:t>3.3.2 澄清、说明和补正不得超出响应文件的范围或者改变响应文件的实质性内容（算术性错误修正的除外）。供应商的书面澄清、说明和补正属于响应文件的组成部分。</w:t>
      </w:r>
    </w:p>
    <w:p w14:paraId="4CEE491F">
      <w:pPr>
        <w:spacing w:line="400" w:lineRule="exact"/>
        <w:ind w:firstLine="420"/>
        <w:rPr>
          <w:rFonts w:ascii="宋体" w:hAnsi="宋体" w:cs="宋体"/>
          <w:color w:val="auto"/>
          <w:lang w:eastAsia="zh-CN"/>
        </w:rPr>
      </w:pPr>
      <w:r>
        <w:rPr>
          <w:rFonts w:hint="eastAsia" w:ascii="宋体" w:hAnsi="宋体" w:cs="宋体"/>
          <w:color w:val="auto"/>
          <w:lang w:eastAsia="zh-CN"/>
        </w:rPr>
        <w:t>3.3.3 磋商小组对供应商提交的澄清、说明或补正有疑问的，可以要求供应商进一步澄清、说明或补正，直至满足磋商小组的要求。</w:t>
      </w:r>
    </w:p>
    <w:p w14:paraId="32E40011">
      <w:pPr>
        <w:pStyle w:val="37"/>
        <w:ind w:firstLine="420" w:firstLineChars="0"/>
        <w:outlineLvl w:val="2"/>
        <w:rPr>
          <w:rFonts w:ascii="宋体" w:hAnsi="宋体" w:eastAsia="宋体"/>
          <w:color w:val="auto"/>
          <w:sz w:val="21"/>
          <w:szCs w:val="21"/>
          <w:lang w:eastAsia="zh-CN"/>
        </w:rPr>
      </w:pPr>
      <w:bookmarkStart w:id="952" w:name="_Toc19453"/>
      <w:bookmarkStart w:id="953" w:name="_Toc281405536"/>
      <w:bookmarkStart w:id="954" w:name="_Toc318450730"/>
      <w:bookmarkStart w:id="955" w:name="_Toc30053"/>
      <w:bookmarkStart w:id="956" w:name="_Toc22682"/>
      <w:bookmarkStart w:id="957" w:name="_Toc22986"/>
      <w:bookmarkStart w:id="958" w:name="_Toc5903"/>
      <w:bookmarkStart w:id="959" w:name="_Toc14788"/>
      <w:bookmarkStart w:id="960" w:name="_Toc22049"/>
      <w:bookmarkStart w:id="961" w:name="_Toc455867824"/>
      <w:bookmarkStart w:id="962" w:name="_Toc466298147"/>
      <w:bookmarkStart w:id="963" w:name="_Toc490667883"/>
      <w:bookmarkStart w:id="964" w:name="_Toc455080164"/>
      <w:bookmarkStart w:id="965" w:name="_Toc1857"/>
      <w:bookmarkStart w:id="966" w:name="_Toc32183"/>
      <w:bookmarkStart w:id="967" w:name="_Toc4286"/>
      <w:bookmarkStart w:id="968" w:name="_Toc19938"/>
      <w:bookmarkStart w:id="969" w:name="_Toc26894"/>
      <w:r>
        <w:rPr>
          <w:rFonts w:hint="eastAsia" w:ascii="宋体" w:hAnsi="宋体" w:eastAsia="宋体"/>
          <w:color w:val="auto"/>
          <w:sz w:val="21"/>
          <w:szCs w:val="21"/>
          <w:lang w:eastAsia="zh-CN"/>
        </w:rPr>
        <w:t>3.4 评审结果</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0B7BB06F">
      <w:pPr>
        <w:spacing w:line="400" w:lineRule="exact"/>
        <w:ind w:firstLine="420"/>
        <w:rPr>
          <w:rFonts w:ascii="宋体" w:hAnsi="宋体" w:cs="宋体"/>
          <w:color w:val="auto"/>
          <w:lang w:eastAsia="zh-CN"/>
        </w:rPr>
      </w:pPr>
      <w:r>
        <w:rPr>
          <w:rFonts w:hint="eastAsia" w:ascii="宋体" w:hAnsi="宋体" w:cs="宋体"/>
          <w:color w:val="auto"/>
          <w:lang w:eastAsia="zh-CN"/>
        </w:rPr>
        <w:t>3.4.1除第二章“供应商须知”前附表授权直接确定成交人外，磋商小组按照得分由高到低的顺序推荐成交候选人。</w:t>
      </w:r>
    </w:p>
    <w:p w14:paraId="3E796BF4">
      <w:pPr>
        <w:spacing w:line="400" w:lineRule="exact"/>
        <w:ind w:firstLine="420"/>
        <w:rPr>
          <w:rFonts w:ascii="宋体" w:hAnsi="宋体" w:cs="宋体"/>
          <w:color w:val="auto"/>
          <w:lang w:eastAsia="zh-CN"/>
        </w:rPr>
      </w:pPr>
      <w:r>
        <w:rPr>
          <w:rFonts w:hint="eastAsia" w:ascii="宋体" w:hAnsi="宋体" w:cs="宋体"/>
          <w:color w:val="auto"/>
          <w:lang w:eastAsia="zh-CN"/>
        </w:rPr>
        <w:t>3.4.2 磋商小组完成评审后，应当向采购人提交书面评审报告。</w:t>
      </w:r>
    </w:p>
    <w:p w14:paraId="615EE4F1">
      <w:pPr>
        <w:spacing w:line="400" w:lineRule="exact"/>
        <w:ind w:firstLine="420" w:firstLineChars="0"/>
        <w:outlineLvl w:val="1"/>
        <w:rPr>
          <w:rFonts w:ascii="宋体" w:hAnsi="宋体" w:cs="宋体"/>
          <w:color w:val="auto"/>
          <w:lang w:eastAsia="zh-CN"/>
        </w:rPr>
      </w:pPr>
      <w:bookmarkStart w:id="970" w:name="_Toc20314"/>
      <w:bookmarkStart w:id="971" w:name="_Toc152045609"/>
      <w:bookmarkStart w:id="972" w:name="_Toc144974577"/>
      <w:bookmarkStart w:id="973" w:name="_Toc14024"/>
      <w:bookmarkStart w:id="974" w:name="_Toc152042387"/>
      <w:r>
        <w:rPr>
          <w:rFonts w:hint="eastAsia" w:ascii="宋体" w:hAnsi="宋体" w:cs="宋体"/>
          <w:color w:val="auto"/>
          <w:lang w:eastAsia="zh-CN"/>
        </w:rPr>
        <w:t>附件：废标条件</w:t>
      </w:r>
      <w:bookmarkEnd w:id="970"/>
    </w:p>
    <w:p w14:paraId="1F76BCBB">
      <w:pPr>
        <w:spacing w:line="400" w:lineRule="exact"/>
        <w:ind w:firstLine="422"/>
        <w:jc w:val="center"/>
        <w:rPr>
          <w:rFonts w:ascii="宋体" w:hAnsi="宋体" w:cs="宋体"/>
          <w:b/>
          <w:color w:val="auto"/>
          <w:lang w:eastAsia="zh-CN"/>
        </w:rPr>
      </w:pPr>
      <w:r>
        <w:rPr>
          <w:rFonts w:hint="eastAsia" w:ascii="宋体" w:hAnsi="宋体" w:cs="宋体"/>
          <w:b/>
          <w:color w:val="auto"/>
          <w:lang w:eastAsia="zh-CN"/>
        </w:rPr>
        <w:t>废标条件</w:t>
      </w:r>
    </w:p>
    <w:p w14:paraId="56AF7069">
      <w:pPr>
        <w:spacing w:line="400" w:lineRule="exact"/>
        <w:ind w:firstLine="422"/>
        <w:rPr>
          <w:rFonts w:ascii="宋体" w:hAnsi="宋体" w:cs="宋体"/>
          <w:b/>
          <w:color w:val="auto"/>
          <w:lang w:eastAsia="zh-CN"/>
        </w:rPr>
      </w:pPr>
      <w:r>
        <w:rPr>
          <w:rFonts w:hint="eastAsia" w:ascii="宋体" w:hAnsi="宋体" w:cs="宋体"/>
          <w:b/>
          <w:color w:val="auto"/>
          <w:lang w:eastAsia="zh-CN"/>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3A40ED54">
      <w:pPr>
        <w:spacing w:line="400" w:lineRule="exact"/>
        <w:ind w:firstLine="422"/>
        <w:rPr>
          <w:rFonts w:ascii="宋体" w:hAnsi="宋体" w:cs="宋体"/>
          <w:b/>
          <w:color w:val="auto"/>
          <w:lang w:eastAsia="zh-CN"/>
        </w:rPr>
      </w:pPr>
      <w:r>
        <w:rPr>
          <w:rFonts w:hint="eastAsia" w:ascii="宋体" w:hAnsi="宋体" w:cs="宋体"/>
          <w:b/>
          <w:color w:val="auto"/>
          <w:lang w:eastAsia="zh-CN"/>
        </w:rPr>
        <w:t xml:space="preserve">1.未通过第三章评标办法资格评审、符合性评审的； </w:t>
      </w:r>
    </w:p>
    <w:p w14:paraId="27259AE6">
      <w:pPr>
        <w:spacing w:line="400" w:lineRule="exact"/>
        <w:ind w:firstLine="422"/>
        <w:rPr>
          <w:rFonts w:ascii="宋体" w:hAnsi="宋体" w:cs="宋体"/>
          <w:b/>
          <w:color w:val="auto"/>
          <w:lang w:eastAsia="zh-CN"/>
        </w:rPr>
      </w:pPr>
      <w:r>
        <w:rPr>
          <w:rFonts w:hint="eastAsia" w:ascii="宋体" w:hAnsi="宋体" w:cs="宋体"/>
          <w:b/>
          <w:color w:val="auto"/>
          <w:lang w:eastAsia="zh-CN"/>
        </w:rPr>
        <w:t>2.不按磋商小组要求澄清、说明或补正的；</w:t>
      </w:r>
    </w:p>
    <w:p w14:paraId="03EB46D9">
      <w:pPr>
        <w:spacing w:line="400" w:lineRule="exact"/>
        <w:ind w:firstLine="422"/>
        <w:rPr>
          <w:rFonts w:ascii="宋体" w:hAnsi="宋体" w:cs="宋体"/>
          <w:b/>
          <w:color w:val="auto"/>
          <w:lang w:eastAsia="zh-CN"/>
        </w:rPr>
      </w:pPr>
      <w:r>
        <w:rPr>
          <w:rFonts w:hint="eastAsia" w:ascii="宋体" w:hAnsi="宋体" w:cs="宋体"/>
          <w:b/>
          <w:color w:val="auto"/>
          <w:lang w:eastAsia="zh-CN"/>
        </w:rPr>
        <w:t>3.磋商报价有算术性错误，供应商不接受修正价格的；</w:t>
      </w:r>
    </w:p>
    <w:p w14:paraId="23064A3B">
      <w:pPr>
        <w:spacing w:line="400" w:lineRule="exact"/>
        <w:ind w:firstLine="422"/>
        <w:rPr>
          <w:rFonts w:ascii="宋体" w:hAnsi="宋体" w:cs="宋体"/>
          <w:b/>
          <w:color w:val="auto"/>
          <w:lang w:eastAsia="zh-CN"/>
        </w:rPr>
      </w:pPr>
      <w:r>
        <w:rPr>
          <w:rFonts w:hint="eastAsia" w:ascii="宋体" w:hAnsi="宋体" w:cs="宋体"/>
          <w:b/>
          <w:color w:val="auto"/>
          <w:lang w:eastAsia="zh-CN"/>
        </w:rPr>
        <w:t>4.以他人的名义投标、以行贿手段谋取中标或者以其他弄虚作假方式投标的；</w:t>
      </w:r>
    </w:p>
    <w:p w14:paraId="4DE3C6D8">
      <w:pPr>
        <w:spacing w:line="400" w:lineRule="exact"/>
        <w:ind w:firstLine="422"/>
        <w:rPr>
          <w:rFonts w:ascii="宋体" w:hAnsi="宋体" w:cs="宋体"/>
          <w:b/>
          <w:color w:val="auto"/>
          <w:lang w:eastAsia="zh-CN"/>
        </w:rPr>
      </w:pPr>
      <w:r>
        <w:rPr>
          <w:rFonts w:hint="eastAsia" w:ascii="宋体" w:hAnsi="宋体" w:cs="宋体"/>
          <w:b/>
          <w:color w:val="auto"/>
          <w:lang w:eastAsia="zh-CN"/>
        </w:rPr>
        <w:t>5.属于串（围）标行为的；</w:t>
      </w:r>
    </w:p>
    <w:p w14:paraId="4421FDF1">
      <w:pPr>
        <w:spacing w:line="400" w:lineRule="exact"/>
        <w:ind w:firstLine="422"/>
        <w:rPr>
          <w:rFonts w:ascii="宋体" w:hAnsi="宋体" w:cs="宋体"/>
          <w:b/>
          <w:color w:val="auto"/>
          <w:lang w:eastAsia="zh-CN"/>
        </w:rPr>
      </w:pPr>
      <w:r>
        <w:rPr>
          <w:rFonts w:hint="eastAsia" w:ascii="宋体" w:hAnsi="宋体" w:cs="宋体"/>
          <w:b/>
          <w:color w:val="auto"/>
          <w:lang w:eastAsia="zh-CN"/>
        </w:rPr>
        <w:t>6.评标委员会认定供应商以低于成本报价竞标的；</w:t>
      </w:r>
    </w:p>
    <w:p w14:paraId="327BF29A">
      <w:pPr>
        <w:spacing w:line="400" w:lineRule="exact"/>
        <w:ind w:firstLine="422"/>
        <w:rPr>
          <w:rFonts w:ascii="宋体" w:hAnsi="宋体" w:cs="宋体"/>
          <w:b/>
          <w:color w:val="auto"/>
          <w:lang w:eastAsia="zh-CN"/>
        </w:rPr>
      </w:pPr>
      <w:r>
        <w:rPr>
          <w:rFonts w:hint="eastAsia" w:ascii="宋体" w:hAnsi="宋体" w:cs="宋体"/>
          <w:b/>
          <w:color w:val="auto"/>
          <w:lang w:eastAsia="zh-CN"/>
        </w:rPr>
        <w:t>7.明显不符合技术规格、技术标准的要求；</w:t>
      </w:r>
    </w:p>
    <w:p w14:paraId="3A5471AE">
      <w:pPr>
        <w:spacing w:line="400" w:lineRule="exact"/>
        <w:ind w:firstLine="422"/>
        <w:rPr>
          <w:rFonts w:ascii="宋体" w:hAnsi="宋体" w:cs="宋体"/>
          <w:b/>
          <w:color w:val="auto"/>
          <w:lang w:eastAsia="zh-CN"/>
        </w:rPr>
      </w:pPr>
      <w:r>
        <w:rPr>
          <w:rFonts w:hint="eastAsia" w:ascii="宋体" w:hAnsi="宋体" w:cs="宋体"/>
          <w:b/>
          <w:color w:val="auto"/>
          <w:lang w:eastAsia="zh-CN"/>
        </w:rPr>
        <w:t>8.文件制作机器码、文件创建标识码有相同的；</w:t>
      </w:r>
    </w:p>
    <w:p w14:paraId="7ABB8691">
      <w:pPr>
        <w:spacing w:line="400" w:lineRule="exact"/>
        <w:ind w:firstLine="422"/>
        <w:rPr>
          <w:rFonts w:ascii="宋体" w:hAnsi="宋体" w:cs="宋体"/>
          <w:b/>
          <w:color w:val="auto"/>
          <w:lang w:eastAsia="zh-CN"/>
        </w:rPr>
      </w:pPr>
      <w:r>
        <w:rPr>
          <w:rFonts w:hint="eastAsia" w:ascii="宋体" w:hAnsi="宋体" w:cs="宋体"/>
          <w:b/>
          <w:color w:val="auto"/>
          <w:lang w:eastAsia="zh-CN"/>
        </w:rPr>
        <w:t>9．不符合竞争性磋商文件规定的其他实质性要求及相关法律、法规或规章规定可以废标的其他情形。</w:t>
      </w:r>
    </w:p>
    <w:p w14:paraId="29821C6F">
      <w:pPr>
        <w:pStyle w:val="2"/>
        <w:ind w:firstLine="280"/>
        <w:rPr>
          <w:rFonts w:ascii="宋体" w:hAnsi="宋体" w:cs="宋体"/>
          <w:bCs/>
          <w:color w:val="auto"/>
          <w:sz w:val="28"/>
          <w:szCs w:val="28"/>
          <w:lang w:eastAsia="zh-CN"/>
        </w:rPr>
      </w:pPr>
    </w:p>
    <w:p w14:paraId="4F9AEE62">
      <w:pPr>
        <w:pStyle w:val="23"/>
        <w:tabs>
          <w:tab w:val="left" w:pos="945"/>
          <w:tab w:val="left" w:pos="1155"/>
        </w:tabs>
        <w:ind w:firstLine="560"/>
        <w:rPr>
          <w:rFonts w:ascii="宋体" w:hAnsi="宋体" w:cs="宋体"/>
          <w:bCs/>
          <w:color w:val="auto"/>
          <w:sz w:val="28"/>
          <w:szCs w:val="28"/>
          <w:lang w:eastAsia="zh-CN"/>
        </w:rPr>
      </w:pPr>
    </w:p>
    <w:p w14:paraId="6EA84BEA">
      <w:pPr>
        <w:ind w:firstLine="560"/>
        <w:rPr>
          <w:rFonts w:ascii="宋体" w:hAnsi="宋体" w:cs="宋体"/>
          <w:bCs/>
          <w:color w:val="auto"/>
          <w:sz w:val="28"/>
          <w:szCs w:val="28"/>
          <w:lang w:eastAsia="zh-CN"/>
        </w:rPr>
      </w:pPr>
    </w:p>
    <w:bookmarkEnd w:id="971"/>
    <w:bookmarkEnd w:id="972"/>
    <w:bookmarkEnd w:id="973"/>
    <w:bookmarkEnd w:id="974"/>
    <w:p w14:paraId="4C8FB82D">
      <w:pPr>
        <w:rPr>
          <w:rStyle w:val="29"/>
          <w:rFonts w:hint="eastAsia"/>
          <w:color w:val="auto"/>
          <w:lang w:eastAsia="zh-CN"/>
        </w:rPr>
      </w:pPr>
      <w:bookmarkStart w:id="975" w:name="_Toc31177"/>
      <w:bookmarkStart w:id="976" w:name="_Toc19109"/>
      <w:bookmarkStart w:id="977" w:name="_Toc144974855"/>
      <w:bookmarkStart w:id="978" w:name="_Toc152042575"/>
      <w:bookmarkStart w:id="979" w:name="_Toc14158"/>
      <w:bookmarkStart w:id="980" w:name="_Toc152045786"/>
      <w:r>
        <w:rPr>
          <w:rStyle w:val="29"/>
          <w:rFonts w:hint="eastAsia"/>
          <w:color w:val="auto"/>
          <w:lang w:eastAsia="zh-CN"/>
        </w:rPr>
        <w:br w:type="page"/>
      </w:r>
    </w:p>
    <w:p w14:paraId="13C3FAF9">
      <w:pPr>
        <w:spacing w:line="400" w:lineRule="exact"/>
        <w:ind w:firstLine="3218" w:firstLineChars="1005"/>
        <w:jc w:val="both"/>
        <w:outlineLvl w:val="0"/>
        <w:rPr>
          <w:rFonts w:ascii="宋体" w:hAnsi="宋体" w:cs="宋体"/>
          <w:b/>
          <w:color w:val="auto"/>
          <w:sz w:val="32"/>
          <w:szCs w:val="32"/>
          <w:lang w:eastAsia="zh-CN"/>
        </w:rPr>
      </w:pPr>
      <w:r>
        <w:rPr>
          <w:rStyle w:val="29"/>
          <w:rFonts w:hint="eastAsia"/>
          <w:color w:val="auto"/>
          <w:lang w:eastAsia="zh-CN"/>
        </w:rPr>
        <w:t>第四章  河南省政府采购合同</w:t>
      </w:r>
      <w:bookmarkEnd w:id="975"/>
      <w:bookmarkEnd w:id="976"/>
      <w:r>
        <w:rPr>
          <w:rFonts w:hint="eastAsia" w:ascii="宋体" w:hAnsi="宋体" w:cs="宋体"/>
          <w:b/>
          <w:color w:val="auto"/>
          <w:sz w:val="32"/>
          <w:szCs w:val="32"/>
          <w:lang w:eastAsia="zh-CN"/>
        </w:rPr>
        <w:t>（参考文本）</w:t>
      </w:r>
    </w:p>
    <w:p w14:paraId="47F107D9">
      <w:pPr>
        <w:spacing w:before="78" w:line="222" w:lineRule="auto"/>
        <w:ind w:left="1547" w:firstLine="1428" w:firstLineChars="600"/>
        <w:rPr>
          <w:rFonts w:ascii="仿宋" w:hAnsi="仿宋" w:eastAsia="仿宋" w:cs="仿宋"/>
          <w:sz w:val="24"/>
          <w:szCs w:val="24"/>
        </w:rPr>
      </w:pPr>
      <w:r>
        <w:rPr>
          <w:rFonts w:ascii="仿宋" w:hAnsi="仿宋" w:eastAsia="仿宋" w:cs="仿宋"/>
          <w:spacing w:val="-1"/>
          <w:sz w:val="24"/>
          <w:szCs w:val="24"/>
        </w:rPr>
        <w:t>（此合同仅做参考，以采购人与供应商最终确定为准）</w:t>
      </w:r>
    </w:p>
    <w:p w14:paraId="3D01E98E">
      <w:pPr>
        <w:pStyle w:val="3"/>
        <w:spacing w:line="255" w:lineRule="auto"/>
      </w:pPr>
    </w:p>
    <w:p w14:paraId="043BA2CC">
      <w:pPr>
        <w:pStyle w:val="3"/>
        <w:spacing w:line="256" w:lineRule="auto"/>
      </w:pPr>
    </w:p>
    <w:p w14:paraId="756D5208">
      <w:pPr>
        <w:rPr>
          <w:rFonts w:hint="eastAsia" w:ascii="楷体" w:hAnsi="楷体" w:eastAsia="楷体" w:cs="楷体"/>
          <w:spacing w:val="-2"/>
          <w:sz w:val="24"/>
          <w:szCs w:val="24"/>
          <w:lang w:val="en-US" w:eastAsia="zh-CN"/>
        </w:rPr>
      </w:pPr>
    </w:p>
    <w:p w14:paraId="061BCF4A">
      <w:pPr>
        <w:pStyle w:val="2"/>
        <w:rPr>
          <w:rFonts w:ascii="楷体" w:hAnsi="楷体" w:eastAsia="楷体" w:cs="楷体"/>
          <w:spacing w:val="-2"/>
          <w:sz w:val="24"/>
          <w:szCs w:val="24"/>
        </w:rPr>
      </w:pPr>
    </w:p>
    <w:p w14:paraId="328A73EC">
      <w:pPr>
        <w:pStyle w:val="23"/>
        <w:ind w:left="0" w:leftChars="0" w:firstLine="0" w:firstLineChars="0"/>
        <w:rPr>
          <w:rFonts w:hint="eastAsia" w:eastAsia="楷体"/>
          <w:color w:val="0000FF"/>
          <w:lang w:val="en-US" w:eastAsia="zh-CN"/>
        </w:rPr>
      </w:pPr>
    </w:p>
    <w:p w14:paraId="79D884D7">
      <w:pPr>
        <w:pStyle w:val="5"/>
        <w:jc w:val="both"/>
        <w:rPr>
          <w:rFonts w:hint="eastAsia"/>
          <w:color w:val="0000FF"/>
          <w:highlight w:val="none"/>
          <w:shd w:val="clear" w:color="auto" w:fill="FFFFFF"/>
        </w:rPr>
      </w:pPr>
      <w:bookmarkStart w:id="981" w:name="_Toc14620"/>
    </w:p>
    <w:p w14:paraId="5712858C">
      <w:pPr>
        <w:pStyle w:val="5"/>
        <w:jc w:val="both"/>
        <w:rPr>
          <w:rFonts w:hint="eastAsia"/>
          <w:color w:val="0000FF"/>
          <w:highlight w:val="none"/>
          <w:shd w:val="clear" w:color="auto" w:fill="FFFFFF"/>
        </w:rPr>
      </w:pPr>
    </w:p>
    <w:p w14:paraId="50485F3E">
      <w:pPr>
        <w:pStyle w:val="5"/>
        <w:jc w:val="both"/>
        <w:rPr>
          <w:rFonts w:hint="eastAsia"/>
          <w:color w:val="0000FF"/>
          <w:highlight w:val="none"/>
          <w:shd w:val="clear" w:color="auto" w:fill="FFFFFF"/>
        </w:rPr>
      </w:pPr>
    </w:p>
    <w:p w14:paraId="46FB760C">
      <w:pPr>
        <w:pStyle w:val="5"/>
        <w:jc w:val="both"/>
        <w:rPr>
          <w:rFonts w:hint="eastAsia"/>
          <w:color w:val="0000FF"/>
          <w:highlight w:val="none"/>
          <w:shd w:val="clear" w:color="auto" w:fill="FFFFFF"/>
        </w:rPr>
      </w:pPr>
    </w:p>
    <w:p w14:paraId="18DC284E">
      <w:pPr>
        <w:pStyle w:val="5"/>
        <w:jc w:val="both"/>
        <w:rPr>
          <w:rFonts w:hint="eastAsia"/>
          <w:color w:val="0000FF"/>
          <w:highlight w:val="none"/>
          <w:shd w:val="clear" w:color="auto" w:fill="FFFFFF"/>
        </w:rPr>
      </w:pPr>
    </w:p>
    <w:p w14:paraId="282AB6D9">
      <w:pPr>
        <w:pStyle w:val="5"/>
        <w:jc w:val="both"/>
        <w:rPr>
          <w:rFonts w:hint="eastAsia"/>
          <w:color w:val="0000FF"/>
          <w:highlight w:val="none"/>
          <w:shd w:val="clear" w:color="auto" w:fill="FFFFFF"/>
        </w:rPr>
      </w:pPr>
    </w:p>
    <w:p w14:paraId="2B569088">
      <w:pPr>
        <w:pStyle w:val="5"/>
        <w:jc w:val="both"/>
        <w:rPr>
          <w:rFonts w:hint="eastAsia"/>
          <w:color w:val="0000FF"/>
          <w:highlight w:val="none"/>
          <w:shd w:val="clear" w:color="auto" w:fill="FFFFFF"/>
        </w:rPr>
      </w:pPr>
    </w:p>
    <w:p w14:paraId="168A9CB6">
      <w:pPr>
        <w:pStyle w:val="5"/>
        <w:jc w:val="both"/>
        <w:rPr>
          <w:rFonts w:hint="eastAsia"/>
          <w:color w:val="0000FF"/>
          <w:highlight w:val="none"/>
          <w:shd w:val="clear" w:color="auto" w:fill="FFFFFF"/>
        </w:rPr>
      </w:pPr>
    </w:p>
    <w:p w14:paraId="36ED89C0">
      <w:pPr>
        <w:pStyle w:val="5"/>
        <w:jc w:val="both"/>
        <w:rPr>
          <w:rFonts w:hint="eastAsia"/>
          <w:color w:val="0000FF"/>
          <w:highlight w:val="none"/>
          <w:shd w:val="clear" w:color="auto" w:fill="FFFFFF"/>
        </w:rPr>
      </w:pPr>
    </w:p>
    <w:p w14:paraId="40FB9FEB">
      <w:pPr>
        <w:pStyle w:val="5"/>
        <w:jc w:val="both"/>
        <w:rPr>
          <w:rFonts w:hint="eastAsia"/>
          <w:color w:val="0000FF"/>
          <w:highlight w:val="none"/>
          <w:shd w:val="clear" w:color="auto" w:fill="FFFFFF"/>
        </w:rPr>
      </w:pPr>
    </w:p>
    <w:p w14:paraId="0D557FF1">
      <w:pPr>
        <w:pStyle w:val="5"/>
        <w:jc w:val="both"/>
        <w:rPr>
          <w:rFonts w:hint="eastAsia"/>
          <w:color w:val="0000FF"/>
          <w:highlight w:val="none"/>
          <w:shd w:val="clear" w:color="auto" w:fill="FFFFFF"/>
        </w:rPr>
      </w:pPr>
    </w:p>
    <w:p w14:paraId="66F7C3FD">
      <w:pPr>
        <w:pStyle w:val="5"/>
        <w:jc w:val="both"/>
        <w:rPr>
          <w:rFonts w:hint="eastAsia"/>
          <w:color w:val="0000FF"/>
          <w:highlight w:val="none"/>
          <w:shd w:val="clear" w:color="auto" w:fill="FFFFFF"/>
        </w:rPr>
      </w:pPr>
    </w:p>
    <w:p w14:paraId="30060EC7">
      <w:pPr>
        <w:pStyle w:val="5"/>
        <w:jc w:val="both"/>
        <w:rPr>
          <w:rFonts w:hint="eastAsia"/>
          <w:color w:val="0000FF"/>
          <w:highlight w:val="none"/>
          <w:shd w:val="clear" w:color="auto" w:fill="FFFFFF"/>
        </w:rPr>
      </w:pPr>
    </w:p>
    <w:p w14:paraId="60E9146E">
      <w:pPr>
        <w:pStyle w:val="5"/>
        <w:jc w:val="both"/>
        <w:rPr>
          <w:rFonts w:hint="eastAsia"/>
          <w:color w:val="0000FF"/>
          <w:highlight w:val="none"/>
          <w:shd w:val="clear" w:color="auto" w:fill="FFFFFF"/>
        </w:rPr>
      </w:pPr>
    </w:p>
    <w:p w14:paraId="1B9DD2D5">
      <w:pPr>
        <w:pStyle w:val="5"/>
        <w:jc w:val="both"/>
        <w:rPr>
          <w:rFonts w:hint="eastAsia"/>
          <w:color w:val="0000FF"/>
          <w:highlight w:val="none"/>
          <w:shd w:val="clear" w:color="auto" w:fill="FFFFFF"/>
        </w:rPr>
      </w:pPr>
    </w:p>
    <w:p w14:paraId="7904DFD1">
      <w:pPr>
        <w:pStyle w:val="5"/>
        <w:jc w:val="both"/>
        <w:rPr>
          <w:rFonts w:hint="eastAsia"/>
          <w:color w:val="0000FF"/>
          <w:highlight w:val="none"/>
          <w:shd w:val="clear" w:color="auto" w:fill="FFFFFF"/>
        </w:rPr>
      </w:pPr>
    </w:p>
    <w:p w14:paraId="2F08D56A">
      <w:pPr>
        <w:pStyle w:val="5"/>
        <w:jc w:val="both"/>
        <w:rPr>
          <w:rFonts w:hint="eastAsia"/>
          <w:color w:val="0000FF"/>
          <w:highlight w:val="none"/>
          <w:shd w:val="clear" w:color="auto" w:fill="FFFFFF"/>
        </w:rPr>
      </w:pPr>
    </w:p>
    <w:p w14:paraId="56A4FA61">
      <w:pPr>
        <w:pStyle w:val="5"/>
        <w:jc w:val="both"/>
        <w:rPr>
          <w:rFonts w:hint="eastAsia"/>
          <w:color w:val="0000FF"/>
          <w:highlight w:val="none"/>
          <w:shd w:val="clear" w:color="auto" w:fill="FFFFFF"/>
        </w:rPr>
      </w:pPr>
    </w:p>
    <w:p w14:paraId="42C5C6CF">
      <w:pPr>
        <w:pStyle w:val="5"/>
        <w:jc w:val="both"/>
        <w:rPr>
          <w:rFonts w:hint="eastAsia"/>
          <w:color w:val="0000FF"/>
          <w:highlight w:val="none"/>
          <w:shd w:val="clear" w:color="auto" w:fill="FFFFFF"/>
        </w:rPr>
      </w:pPr>
    </w:p>
    <w:p w14:paraId="03A2B925">
      <w:pPr>
        <w:pStyle w:val="5"/>
        <w:jc w:val="both"/>
        <w:rPr>
          <w:rFonts w:hint="eastAsia"/>
          <w:color w:val="0000FF"/>
          <w:highlight w:val="none"/>
          <w:shd w:val="clear" w:color="auto" w:fill="FFFFFF"/>
        </w:rPr>
      </w:pPr>
    </w:p>
    <w:p w14:paraId="257A8D0B">
      <w:pPr>
        <w:pStyle w:val="5"/>
        <w:jc w:val="both"/>
        <w:rPr>
          <w:rFonts w:hint="eastAsia"/>
          <w:color w:val="0000FF"/>
          <w:highlight w:val="none"/>
          <w:shd w:val="clear" w:color="auto" w:fill="FFFFFF"/>
        </w:rPr>
      </w:pPr>
    </w:p>
    <w:p w14:paraId="1D399016">
      <w:pPr>
        <w:pStyle w:val="5"/>
        <w:jc w:val="both"/>
        <w:rPr>
          <w:rFonts w:hint="eastAsia"/>
          <w:color w:val="0000FF"/>
          <w:highlight w:val="none"/>
          <w:shd w:val="clear" w:color="auto" w:fill="FFFFFF"/>
        </w:rPr>
      </w:pPr>
    </w:p>
    <w:p w14:paraId="35291EB0">
      <w:pPr>
        <w:pStyle w:val="5"/>
        <w:jc w:val="both"/>
        <w:rPr>
          <w:rFonts w:hint="eastAsia"/>
          <w:color w:val="0000FF"/>
          <w:highlight w:val="none"/>
          <w:shd w:val="clear" w:color="auto" w:fill="FFFFFF"/>
        </w:rPr>
      </w:pPr>
    </w:p>
    <w:p w14:paraId="795FA3B4">
      <w:pPr>
        <w:pStyle w:val="5"/>
        <w:jc w:val="both"/>
        <w:rPr>
          <w:rFonts w:hint="eastAsia"/>
          <w:color w:val="0000FF"/>
          <w:highlight w:val="none"/>
          <w:shd w:val="clear" w:color="auto" w:fill="FFFFFF"/>
        </w:rPr>
      </w:pPr>
    </w:p>
    <w:p w14:paraId="26063BA2">
      <w:pPr>
        <w:pStyle w:val="5"/>
        <w:jc w:val="both"/>
        <w:rPr>
          <w:rFonts w:hint="eastAsia"/>
          <w:color w:val="0000FF"/>
          <w:highlight w:val="none"/>
          <w:shd w:val="clear" w:color="auto" w:fill="FFFFFF"/>
        </w:rPr>
      </w:pPr>
    </w:p>
    <w:p w14:paraId="285B61EA">
      <w:pPr>
        <w:pStyle w:val="5"/>
        <w:jc w:val="both"/>
        <w:rPr>
          <w:rFonts w:hint="eastAsia"/>
          <w:color w:val="0000FF"/>
          <w:highlight w:val="none"/>
          <w:shd w:val="clear" w:color="auto" w:fill="FFFFFF"/>
        </w:rPr>
      </w:pPr>
    </w:p>
    <w:p w14:paraId="33D56D00">
      <w:pPr>
        <w:pStyle w:val="5"/>
        <w:jc w:val="both"/>
        <w:rPr>
          <w:rFonts w:hint="eastAsia"/>
          <w:color w:val="0000FF"/>
          <w:highlight w:val="none"/>
          <w:shd w:val="clear" w:color="auto" w:fill="FFFFFF"/>
        </w:rPr>
      </w:pPr>
    </w:p>
    <w:p w14:paraId="08DD8EF0">
      <w:pPr>
        <w:pStyle w:val="5"/>
        <w:jc w:val="both"/>
        <w:rPr>
          <w:rFonts w:hint="eastAsia"/>
          <w:color w:val="0000FF"/>
          <w:highlight w:val="none"/>
          <w:shd w:val="clear" w:color="auto" w:fill="FFFFFF"/>
        </w:rPr>
      </w:pPr>
    </w:p>
    <w:p w14:paraId="64EA6470">
      <w:pPr>
        <w:pStyle w:val="5"/>
        <w:jc w:val="both"/>
        <w:rPr>
          <w:rFonts w:hint="eastAsia"/>
          <w:color w:val="0000FF"/>
          <w:highlight w:val="none"/>
          <w:shd w:val="clear" w:color="auto" w:fill="FFFFFF"/>
        </w:rPr>
      </w:pPr>
    </w:p>
    <w:p w14:paraId="61FAA426">
      <w:pPr>
        <w:pStyle w:val="5"/>
        <w:jc w:val="both"/>
        <w:rPr>
          <w:rFonts w:hint="eastAsia"/>
          <w:color w:val="0000FF"/>
          <w:highlight w:val="none"/>
          <w:shd w:val="clear" w:color="auto" w:fill="FFFFFF"/>
        </w:rPr>
      </w:pPr>
    </w:p>
    <w:p w14:paraId="0A9B265B">
      <w:pPr>
        <w:pStyle w:val="5"/>
        <w:jc w:val="both"/>
        <w:rPr>
          <w:rFonts w:hint="eastAsia"/>
          <w:color w:val="0000FF"/>
          <w:highlight w:val="none"/>
          <w:shd w:val="clear" w:color="auto" w:fill="FFFFFF"/>
        </w:rPr>
      </w:pPr>
    </w:p>
    <w:p w14:paraId="08F54510">
      <w:pPr>
        <w:pStyle w:val="5"/>
        <w:jc w:val="both"/>
        <w:rPr>
          <w:rFonts w:hint="eastAsia"/>
          <w:color w:val="0000FF"/>
          <w:highlight w:val="none"/>
          <w:shd w:val="clear" w:color="auto" w:fill="FFFFFF"/>
        </w:rPr>
      </w:pPr>
    </w:p>
    <w:p w14:paraId="5860E2B2">
      <w:pPr>
        <w:pStyle w:val="5"/>
        <w:jc w:val="both"/>
        <w:rPr>
          <w:rFonts w:hint="eastAsia"/>
          <w:color w:val="0000FF"/>
          <w:highlight w:val="none"/>
          <w:shd w:val="clear" w:color="auto" w:fill="FFFFFF"/>
        </w:rPr>
      </w:pPr>
    </w:p>
    <w:p w14:paraId="3F05748F">
      <w:pPr>
        <w:pStyle w:val="5"/>
        <w:jc w:val="both"/>
        <w:rPr>
          <w:rFonts w:hint="eastAsia"/>
          <w:color w:val="0000FF"/>
          <w:highlight w:val="none"/>
          <w:shd w:val="clear" w:color="auto" w:fill="FFFFFF"/>
        </w:rPr>
      </w:pPr>
    </w:p>
    <w:p w14:paraId="509EF60C">
      <w:pPr>
        <w:pStyle w:val="5"/>
        <w:jc w:val="both"/>
        <w:rPr>
          <w:rFonts w:hint="eastAsia"/>
          <w:color w:val="0000FF"/>
          <w:highlight w:val="none"/>
          <w:shd w:val="clear" w:color="auto" w:fill="FFFFFF"/>
        </w:rPr>
      </w:pPr>
    </w:p>
    <w:p w14:paraId="1FA963D3">
      <w:pPr>
        <w:pStyle w:val="5"/>
        <w:jc w:val="both"/>
        <w:rPr>
          <w:rFonts w:hint="eastAsia"/>
          <w:color w:val="0000FF"/>
          <w:highlight w:val="none"/>
          <w:shd w:val="clear" w:color="auto" w:fill="FFFFFF"/>
        </w:rPr>
      </w:pPr>
    </w:p>
    <w:p w14:paraId="1AE65C70">
      <w:pPr>
        <w:pStyle w:val="5"/>
        <w:jc w:val="both"/>
        <w:rPr>
          <w:rFonts w:hint="eastAsia"/>
          <w:color w:val="0000FF"/>
          <w:highlight w:val="none"/>
          <w:shd w:val="clear" w:color="auto" w:fill="FFFFFF"/>
        </w:rPr>
      </w:pPr>
    </w:p>
    <w:p w14:paraId="45F13B4D">
      <w:pPr>
        <w:pStyle w:val="5"/>
        <w:jc w:val="both"/>
        <w:rPr>
          <w:rFonts w:hint="eastAsia"/>
          <w:color w:val="0000FF"/>
          <w:highlight w:val="none"/>
          <w:shd w:val="clear" w:color="auto" w:fill="FFFFFF"/>
        </w:rPr>
      </w:pPr>
    </w:p>
    <w:p w14:paraId="16A336B7">
      <w:pPr>
        <w:pStyle w:val="5"/>
        <w:jc w:val="both"/>
        <w:rPr>
          <w:rFonts w:hint="eastAsia"/>
          <w:color w:val="0000FF"/>
          <w:highlight w:val="none"/>
          <w:shd w:val="clear" w:color="auto" w:fill="FFFFFF"/>
        </w:rPr>
      </w:pPr>
    </w:p>
    <w:p w14:paraId="7270648C">
      <w:pPr>
        <w:pStyle w:val="5"/>
        <w:ind w:firstLine="3842" w:firstLineChars="1200"/>
        <w:jc w:val="both"/>
        <w:rPr>
          <w:rFonts w:hint="eastAsia" w:ascii="宋体" w:hAnsi="宋体" w:eastAsia="Arial" w:cs="宋体"/>
          <w:b/>
          <w:bCs/>
          <w:snapToGrid w:val="0"/>
          <w:color w:val="auto"/>
          <w:kern w:val="0"/>
          <w:sz w:val="32"/>
          <w:szCs w:val="32"/>
          <w:lang w:val="en-US" w:eastAsia="en-US" w:bidi="ar-SA"/>
        </w:rPr>
      </w:pPr>
      <w:r>
        <w:rPr>
          <w:rFonts w:hint="eastAsia" w:ascii="宋体" w:hAnsi="宋体" w:eastAsia="Arial" w:cs="宋体"/>
          <w:b/>
          <w:bCs/>
          <w:snapToGrid w:val="0"/>
          <w:color w:val="auto"/>
          <w:kern w:val="0"/>
          <w:sz w:val="32"/>
          <w:szCs w:val="32"/>
          <w:lang w:val="en-US" w:eastAsia="en-US" w:bidi="ar-SA"/>
        </w:rPr>
        <w:t>第五章  技术参数及要求</w:t>
      </w:r>
      <w:bookmarkEnd w:id="981"/>
    </w:p>
    <w:p w14:paraId="21E2DD77">
      <w:pPr>
        <w:widowControl/>
        <w:snapToGrid w:val="0"/>
        <w:spacing w:line="360" w:lineRule="auto"/>
        <w:rPr>
          <w:rFonts w:ascii="宋体" w:hAnsi="宋体" w:cs="宋体"/>
          <w:color w:val="000000"/>
          <w:kern w:val="0"/>
          <w:sz w:val="24"/>
        </w:rPr>
      </w:pPr>
      <w:r>
        <w:rPr>
          <w:rFonts w:hint="eastAsia" w:ascii="宋体" w:hAnsi="宋体" w:cs="宋体"/>
          <w:bCs/>
          <w:color w:val="000000"/>
          <w:kern w:val="0"/>
          <w:sz w:val="24"/>
          <w:lang w:eastAsia="zh-CN"/>
        </w:rPr>
        <w:t>具体保洁范围</w:t>
      </w:r>
      <w:r>
        <w:rPr>
          <w:rFonts w:hint="eastAsia" w:ascii="宋体" w:hAnsi="宋体" w:cs="宋体"/>
          <w:color w:val="000000"/>
          <w:kern w:val="0"/>
          <w:sz w:val="24"/>
        </w:rPr>
        <w:t>：</w:t>
      </w:r>
      <w:r>
        <w:rPr>
          <w:rFonts w:hint="eastAsia" w:ascii="宋体" w:hAnsi="宋体" w:cs="宋体"/>
          <w:color w:val="000000"/>
          <w:kern w:val="0"/>
          <w:sz w:val="24"/>
          <w:lang w:val="en-US" w:eastAsia="zh-CN"/>
        </w:rPr>
        <w:t>东城区：消化病医院+病房楼17000</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新门诊楼7236</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儿童医院5700</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器材库1100</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仁爱楼2800</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行政楼2800</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西城区：门诊楼3800</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病房楼5000</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急诊1800</w:t>
      </w:r>
      <w:r>
        <w:rPr>
          <w:rFonts w:hint="eastAsia" w:ascii="宋体" w:hAnsi="宋体" w:cs="宋体"/>
          <w:color w:val="000000"/>
          <w:kern w:val="0"/>
          <w:sz w:val="24"/>
        </w:rPr>
        <w:t>㎡</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CT室楼1500</w:t>
      </w:r>
      <w:r>
        <w:rPr>
          <w:rFonts w:hint="eastAsia" w:ascii="宋体" w:hAnsi="宋体" w:cs="宋体"/>
          <w:color w:val="000000"/>
          <w:kern w:val="0"/>
          <w:sz w:val="24"/>
        </w:rPr>
        <w:t>㎡。</w:t>
      </w:r>
    </w:p>
    <w:p w14:paraId="1A77AEAD">
      <w:pPr>
        <w:keepNext w:val="0"/>
        <w:keepLines w:val="0"/>
        <w:pageBreakBefore w:val="0"/>
        <w:widowControl/>
        <w:kinsoku/>
        <w:wordWrap/>
        <w:overflowPunct/>
        <w:topLinePunct w:val="0"/>
        <w:autoSpaceDE/>
        <w:autoSpaceDN/>
        <w:bidi w:val="0"/>
        <w:adjustRightInd/>
        <w:snapToGrid w:val="0"/>
        <w:spacing w:line="400" w:lineRule="exact"/>
        <w:textAlignment w:val="auto"/>
        <w:rPr>
          <w:rFonts w:ascii="黑体" w:hAnsi="黑体" w:eastAsia="黑体" w:cs="宋体"/>
          <w:b/>
          <w:kern w:val="0"/>
          <w:sz w:val="24"/>
        </w:rPr>
      </w:pPr>
      <w:r>
        <w:rPr>
          <w:rFonts w:hint="eastAsia" w:ascii="黑体" w:hAnsi="黑体" w:eastAsia="黑体" w:cs="宋体"/>
          <w:b/>
          <w:kern w:val="0"/>
          <w:sz w:val="24"/>
        </w:rPr>
        <w:t>一、</w:t>
      </w:r>
      <w:r>
        <w:rPr>
          <w:rFonts w:hint="eastAsia" w:ascii="黑体" w:hAnsi="黑体" w:eastAsia="黑体" w:cs="宋体"/>
          <w:b/>
          <w:bCs/>
          <w:kern w:val="0"/>
          <w:sz w:val="24"/>
        </w:rPr>
        <w:t>技术需求</w:t>
      </w:r>
    </w:p>
    <w:tbl>
      <w:tblPr>
        <w:tblStyle w:val="24"/>
        <w:tblW w:w="13302"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15"/>
        <w:gridCol w:w="735"/>
        <w:gridCol w:w="10302"/>
      </w:tblGrid>
      <w:tr w14:paraId="1612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50" w:type="dxa"/>
            <w:noWrap w:val="0"/>
            <w:vAlign w:val="center"/>
          </w:tcPr>
          <w:p w14:paraId="480D95BA">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序号</w:t>
            </w:r>
          </w:p>
        </w:tc>
        <w:tc>
          <w:tcPr>
            <w:tcW w:w="1515" w:type="dxa"/>
            <w:noWrap w:val="0"/>
            <w:vAlign w:val="center"/>
          </w:tcPr>
          <w:p w14:paraId="453F2E71">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服务名称</w:t>
            </w:r>
          </w:p>
        </w:tc>
        <w:tc>
          <w:tcPr>
            <w:tcW w:w="735" w:type="dxa"/>
            <w:noWrap w:val="0"/>
            <w:vAlign w:val="center"/>
          </w:tcPr>
          <w:p w14:paraId="37B9807B">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数量</w:t>
            </w:r>
          </w:p>
        </w:tc>
        <w:tc>
          <w:tcPr>
            <w:tcW w:w="10302" w:type="dxa"/>
            <w:noWrap w:val="0"/>
            <w:vAlign w:val="center"/>
          </w:tcPr>
          <w:p w14:paraId="667DE9F6">
            <w:pPr>
              <w:widowControl/>
              <w:snapToGrid w:val="0"/>
              <w:spacing w:line="360" w:lineRule="auto"/>
              <w:ind w:firstLine="2160" w:firstLineChars="900"/>
              <w:rPr>
                <w:rFonts w:ascii="宋体" w:hAnsi="宋体" w:cs="宋体"/>
                <w:color w:val="auto"/>
                <w:kern w:val="0"/>
                <w:sz w:val="24"/>
              </w:rPr>
            </w:pPr>
            <w:r>
              <w:rPr>
                <w:rFonts w:hint="eastAsia" w:ascii="宋体" w:hAnsi="宋体" w:cs="宋体"/>
                <w:color w:val="auto"/>
                <w:kern w:val="0"/>
                <w:sz w:val="24"/>
              </w:rPr>
              <w:t>服务内容及主要服务要求</w:t>
            </w:r>
          </w:p>
        </w:tc>
      </w:tr>
      <w:tr w14:paraId="7BF9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50" w:type="dxa"/>
            <w:noWrap w:val="0"/>
            <w:vAlign w:val="center"/>
          </w:tcPr>
          <w:p w14:paraId="3FD41A1E">
            <w:pPr>
              <w:widowControl/>
              <w:snapToGrid w:val="0"/>
              <w:spacing w:line="360" w:lineRule="auto"/>
              <w:ind w:firstLine="2160" w:firstLineChars="900"/>
              <w:rPr>
                <w:rFonts w:ascii="宋体" w:hAnsi="宋体" w:cs="宋体"/>
                <w:color w:val="auto"/>
                <w:kern w:val="0"/>
                <w:sz w:val="24"/>
              </w:rPr>
            </w:pPr>
            <w:r>
              <w:rPr>
                <w:rFonts w:hint="eastAsia" w:ascii="宋体" w:hAnsi="宋体" w:cs="宋体"/>
                <w:color w:val="auto"/>
                <w:kern w:val="0"/>
                <w:sz w:val="24"/>
              </w:rPr>
              <w:t>1</w:t>
            </w:r>
          </w:p>
        </w:tc>
        <w:tc>
          <w:tcPr>
            <w:tcW w:w="1515" w:type="dxa"/>
            <w:noWrap w:val="0"/>
            <w:vAlign w:val="center"/>
          </w:tcPr>
          <w:p w14:paraId="23D5FBD3">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项目负责人职责及要求</w:t>
            </w:r>
          </w:p>
        </w:tc>
        <w:tc>
          <w:tcPr>
            <w:tcW w:w="735" w:type="dxa"/>
            <w:noWrap w:val="0"/>
            <w:vAlign w:val="center"/>
          </w:tcPr>
          <w:p w14:paraId="5DCD068F">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1人</w:t>
            </w:r>
          </w:p>
        </w:tc>
        <w:tc>
          <w:tcPr>
            <w:tcW w:w="10302" w:type="dxa"/>
            <w:noWrap w:val="0"/>
            <w:vAlign w:val="top"/>
          </w:tcPr>
          <w:p w14:paraId="78AD4EB3">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项目负责人岗位职责及要求</w:t>
            </w:r>
          </w:p>
          <w:p w14:paraId="5C23C5CB">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1、负责制定本项目管理所需的各项规章制度，并监督执行。</w:t>
            </w:r>
          </w:p>
          <w:p w14:paraId="08281DB6">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2、负责人员的编制计划安排及对员工进行业务培训和考核工作。</w:t>
            </w:r>
          </w:p>
          <w:p w14:paraId="583F7C86">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3、负责检查员工仪容仪表和到岗情况，定期巡检、检查各项工作完成情况。</w:t>
            </w:r>
          </w:p>
          <w:p w14:paraId="730ACA55">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4、严格遵守医院各项规章制度，服从医院管理部门的监督及相关科室有关人员的管理。 </w:t>
            </w:r>
          </w:p>
          <w:p w14:paraId="7C45618F">
            <w:pPr>
              <w:keepNext w:val="0"/>
              <w:keepLines w:val="0"/>
              <w:pageBreakBefore w:val="0"/>
              <w:widowControl/>
              <w:kinsoku/>
              <w:wordWrap/>
              <w:overflowPunct/>
              <w:topLinePunct w:val="0"/>
              <w:autoSpaceDE/>
              <w:autoSpaceDN/>
              <w:bidi w:val="0"/>
              <w:adjustRightInd/>
              <w:snapToGrid w:val="0"/>
              <w:spacing w:line="340" w:lineRule="exac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5、随时检查所辖范围各责任区的工作状况，及时调整各种工具及人力的配置。</w:t>
            </w:r>
          </w:p>
          <w:p w14:paraId="0E20F146">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6、制定节约用水、用电、延长设备使用寿命的措施，降低成本。</w:t>
            </w:r>
          </w:p>
          <w:p w14:paraId="29371A44">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7、督促、指导工作人员做好防火、防水等工作。</w:t>
            </w:r>
          </w:p>
          <w:p w14:paraId="281BA589">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8、</w:t>
            </w:r>
            <w:r>
              <w:rPr>
                <w:rFonts w:ascii="宋体" w:hAnsi="宋体" w:cs="宋体"/>
                <w:color w:val="auto"/>
                <w:kern w:val="0"/>
                <w:sz w:val="24"/>
              </w:rPr>
              <w:t>负责</w:t>
            </w:r>
            <w:r>
              <w:rPr>
                <w:rFonts w:hint="eastAsia" w:ascii="宋体" w:hAnsi="宋体" w:cs="宋体"/>
                <w:color w:val="auto"/>
                <w:kern w:val="0"/>
                <w:sz w:val="24"/>
              </w:rPr>
              <w:t>与医院管理部门和</w:t>
            </w:r>
            <w:r>
              <w:rPr>
                <w:rFonts w:ascii="宋体" w:hAnsi="宋体" w:cs="宋体"/>
                <w:color w:val="auto"/>
                <w:kern w:val="0"/>
                <w:sz w:val="24"/>
              </w:rPr>
              <w:t>科室进行沟通,</w:t>
            </w:r>
            <w:r>
              <w:rPr>
                <w:rFonts w:hint="eastAsia" w:ascii="宋体" w:hAnsi="宋体" w:cs="宋体"/>
                <w:color w:val="auto"/>
                <w:kern w:val="0"/>
                <w:sz w:val="24"/>
              </w:rPr>
              <w:t>掌握</w:t>
            </w:r>
            <w:r>
              <w:rPr>
                <w:rFonts w:ascii="宋体" w:hAnsi="宋体" w:cs="宋体"/>
                <w:color w:val="auto"/>
                <w:kern w:val="0"/>
                <w:sz w:val="24"/>
              </w:rPr>
              <w:t>并了解工作中存在问题，及时</w:t>
            </w:r>
            <w:r>
              <w:rPr>
                <w:rFonts w:hint="eastAsia" w:ascii="宋体" w:hAnsi="宋体" w:cs="宋体"/>
                <w:color w:val="auto"/>
                <w:kern w:val="0"/>
                <w:sz w:val="24"/>
              </w:rPr>
              <w:t>采取</w:t>
            </w:r>
            <w:r>
              <w:rPr>
                <w:rFonts w:ascii="宋体" w:hAnsi="宋体" w:cs="宋体"/>
                <w:color w:val="auto"/>
                <w:kern w:val="0"/>
                <w:sz w:val="24"/>
              </w:rPr>
              <w:t>措施予以改进，听取和处理患者的投诉，确保各项工作的顺利开展</w:t>
            </w:r>
            <w:r>
              <w:rPr>
                <w:rFonts w:hint="eastAsia" w:ascii="宋体" w:hAnsi="宋体" w:cs="宋体"/>
                <w:color w:val="auto"/>
                <w:kern w:val="0"/>
                <w:sz w:val="24"/>
              </w:rPr>
              <w:t>。</w:t>
            </w:r>
          </w:p>
          <w:p w14:paraId="43E6D47D">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9、熟练掌握消毒剂配制方法，熟悉清洁消毒原则，监督、指导保洁人员规范开展工作。</w:t>
            </w:r>
          </w:p>
          <w:p w14:paraId="1DE200B9">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10、每周组织召开一次工作会议，检查、总结本周工作，安排部署下周工作。</w:t>
            </w:r>
          </w:p>
        </w:tc>
      </w:tr>
      <w:tr w14:paraId="09B4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54CB3C63">
            <w:pPr>
              <w:widowControl/>
              <w:snapToGrid w:val="0"/>
              <w:spacing w:line="360" w:lineRule="auto"/>
              <w:ind w:firstLine="2160" w:firstLineChars="900"/>
              <w:rPr>
                <w:rFonts w:ascii="宋体" w:hAnsi="宋体" w:cs="宋体"/>
                <w:color w:val="auto"/>
                <w:kern w:val="0"/>
                <w:sz w:val="24"/>
              </w:rPr>
            </w:pPr>
            <w:r>
              <w:rPr>
                <w:rFonts w:hint="eastAsia" w:ascii="宋体" w:hAnsi="宋体" w:cs="宋体"/>
                <w:color w:val="auto"/>
                <w:kern w:val="0"/>
                <w:sz w:val="24"/>
              </w:rPr>
              <w:t>2</w:t>
            </w:r>
          </w:p>
        </w:tc>
        <w:tc>
          <w:tcPr>
            <w:tcW w:w="1515" w:type="dxa"/>
            <w:noWrap w:val="0"/>
            <w:vAlign w:val="center"/>
          </w:tcPr>
          <w:p w14:paraId="1BB6A7F7">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保洁人员职责及要求</w:t>
            </w:r>
          </w:p>
        </w:tc>
        <w:tc>
          <w:tcPr>
            <w:tcW w:w="735" w:type="dxa"/>
            <w:noWrap w:val="0"/>
            <w:vAlign w:val="center"/>
          </w:tcPr>
          <w:p w14:paraId="29693521">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68人</w:t>
            </w:r>
          </w:p>
        </w:tc>
        <w:tc>
          <w:tcPr>
            <w:tcW w:w="10302" w:type="dxa"/>
            <w:noWrap w:val="0"/>
            <w:vAlign w:val="center"/>
          </w:tcPr>
          <w:p w14:paraId="065ABC1A">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一、保洁人员岗位职责及服务范围</w:t>
            </w:r>
          </w:p>
          <w:p w14:paraId="19F7C77E">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eastAsia="宋体" w:cs="宋体"/>
                <w:b/>
                <w:bCs/>
                <w:color w:val="auto"/>
                <w:kern w:val="0"/>
                <w:sz w:val="24"/>
                <w:lang w:eastAsia="zh-CN"/>
              </w:rPr>
            </w:pPr>
            <w:r>
              <w:rPr>
                <w:rFonts w:hint="eastAsia" w:ascii="宋体" w:hAnsi="宋体" w:cs="宋体"/>
                <w:b/>
                <w:bCs/>
                <w:color w:val="auto"/>
                <w:kern w:val="0"/>
                <w:sz w:val="24"/>
                <w:lang w:eastAsia="zh-CN"/>
              </w:rPr>
              <w:t>（一）各楼层、病区、公共区域保洁内容</w:t>
            </w:r>
          </w:p>
          <w:p w14:paraId="5F16A98C">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1、接受项目负责人的检查和指导，保质保量的完成区域内的清洁工作。 </w:t>
            </w:r>
          </w:p>
          <w:p w14:paraId="7CDE6746">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2、认真做好各科室的桌、椅和床的清洁消毒工作。增加高频接触物体表面清洁消毒频次，如：门把手、自助机表面、隔帘、发药/收费窗口台面、鼠标、键盘等。</w:t>
            </w:r>
          </w:p>
          <w:p w14:paraId="674374B7">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color w:val="auto"/>
                <w:kern w:val="0"/>
                <w:sz w:val="24"/>
              </w:rPr>
            </w:pPr>
            <w:r>
              <w:rPr>
                <w:rFonts w:hint="eastAsia" w:ascii="宋体" w:hAnsi="宋体" w:cs="宋体"/>
                <w:color w:val="auto"/>
                <w:kern w:val="0"/>
                <w:sz w:val="24"/>
              </w:rPr>
              <w:t>3、电话、电脑及其他电器、仪器等物体表面使用消毒湿巾进行清洁消毒。</w:t>
            </w:r>
          </w:p>
          <w:p w14:paraId="49B90EBD">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1、地面无污渍、痰迹，无纸屑杂质，楼梯角、踢脚线无灰尘；</w:t>
            </w:r>
          </w:p>
          <w:p w14:paraId="2CF2FA27">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2、天花板、墙面、墙角无蜘蛛网，灯具光亮洁净；</w:t>
            </w:r>
          </w:p>
          <w:p w14:paraId="668292AD">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color w:val="auto"/>
                <w:kern w:val="0"/>
                <w:sz w:val="24"/>
              </w:rPr>
            </w:pPr>
            <w:r>
              <w:rPr>
                <w:rFonts w:hint="eastAsia" w:ascii="宋体" w:hAnsi="宋体" w:cs="宋体"/>
                <w:color w:val="auto"/>
                <w:kern w:val="0"/>
                <w:sz w:val="24"/>
              </w:rPr>
              <w:t xml:space="preserve">3、室内外所有灯具开关、艺术装饰品等标识标牌无污迹、灰尘； </w:t>
            </w:r>
          </w:p>
          <w:p w14:paraId="7C255D5D">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4、打扫门诊楼梯、走廊、扶手及门窗、墙面、地面的卫生。</w:t>
            </w:r>
          </w:p>
          <w:p w14:paraId="0CB299B4">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5、卫生间无异味、地面无积水、污渍，墙壁、隔断、无小广告、蜘蛛网，卫生洁具清洁、镜面明净无灰尘、污痕； </w:t>
            </w:r>
          </w:p>
          <w:p w14:paraId="7F56AAAC">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color w:val="auto"/>
                <w:kern w:val="0"/>
                <w:sz w:val="24"/>
              </w:rPr>
            </w:pPr>
            <w:r>
              <w:rPr>
                <w:rFonts w:hint="eastAsia" w:ascii="宋体" w:hAnsi="宋体" w:cs="宋体"/>
                <w:color w:val="auto"/>
                <w:kern w:val="0"/>
                <w:sz w:val="24"/>
              </w:rPr>
              <w:t>6、及时按照溅洒处置流程处理病人的呕吐物、分泌物、排泄物等。</w:t>
            </w:r>
          </w:p>
          <w:p w14:paraId="413CC329">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7</w:t>
            </w:r>
            <w:r>
              <w:rPr>
                <w:rFonts w:hint="eastAsia" w:ascii="宋体" w:hAnsi="宋体" w:cs="宋体"/>
                <w:color w:val="auto"/>
                <w:kern w:val="0"/>
                <w:sz w:val="24"/>
              </w:rPr>
              <w:t>、严格做到污染区、潜在污染区和清洁区不同的工作流程和标准进行保洁工作。</w:t>
            </w:r>
          </w:p>
          <w:p w14:paraId="2A046124">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、严格不同颜色布巾、地巾在不同区域或不同部位使用及用后规范处置。</w:t>
            </w:r>
          </w:p>
          <w:p w14:paraId="7C977092">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、及时整理</w:t>
            </w:r>
            <w:r>
              <w:rPr>
                <w:rFonts w:hint="eastAsia" w:ascii="宋体" w:hAnsi="宋体" w:cs="宋体"/>
                <w:color w:val="auto"/>
                <w:kern w:val="0"/>
                <w:sz w:val="24"/>
                <w:lang w:eastAsia="zh-CN"/>
              </w:rPr>
              <w:t>房间</w:t>
            </w:r>
            <w:r>
              <w:rPr>
                <w:rFonts w:hint="eastAsia" w:ascii="宋体" w:hAnsi="宋体" w:cs="宋体"/>
                <w:color w:val="auto"/>
                <w:kern w:val="0"/>
                <w:sz w:val="24"/>
              </w:rPr>
              <w:t>的污物、垃圾。根据消毒要求及时处理，在下班前将医疗废物和生活垃圾分类打包整理，回收人员使用专用垃圾车转运。</w:t>
            </w:r>
          </w:p>
          <w:p w14:paraId="0871FC18">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10</w:t>
            </w:r>
            <w:r>
              <w:rPr>
                <w:rFonts w:hint="eastAsia" w:ascii="宋体" w:hAnsi="宋体" w:cs="宋体"/>
                <w:color w:val="auto"/>
                <w:kern w:val="0"/>
                <w:sz w:val="24"/>
              </w:rPr>
              <w:t>、积极协助医院预防与消灭病媒生物，清除病媒生物滋生地。</w:t>
            </w:r>
          </w:p>
          <w:p w14:paraId="1EF9B0F0">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color w:val="auto"/>
                <w:kern w:val="0"/>
                <w:sz w:val="24"/>
              </w:rPr>
            </w:pPr>
            <w:r>
              <w:rPr>
                <w:rFonts w:hint="eastAsia" w:ascii="宋体" w:hAnsi="宋体" w:cs="宋体"/>
                <w:color w:val="auto"/>
                <w:kern w:val="0"/>
                <w:sz w:val="24"/>
                <w:lang w:val="en-US" w:eastAsia="zh-CN"/>
              </w:rPr>
              <w:t>11</w:t>
            </w:r>
            <w:r>
              <w:rPr>
                <w:rFonts w:hint="eastAsia" w:ascii="宋体" w:hAnsi="宋体" w:cs="宋体"/>
                <w:color w:val="auto"/>
                <w:kern w:val="0"/>
                <w:sz w:val="24"/>
              </w:rPr>
              <w:t>、病房内床单元、阳台、壁橱、附属物每日全面清洁消毒两次；出院床单元进行终末消毒。</w:t>
            </w:r>
          </w:p>
          <w:p w14:paraId="52F84F3A">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12、</w:t>
            </w:r>
            <w:r>
              <w:rPr>
                <w:rFonts w:hint="eastAsia" w:ascii="宋体" w:hAnsi="宋体" w:cs="宋体"/>
                <w:color w:val="auto"/>
                <w:kern w:val="0"/>
                <w:sz w:val="24"/>
              </w:rPr>
              <w:t>对所辖区域进行不间断巡视，发现问题及时处理。</w:t>
            </w:r>
          </w:p>
          <w:p w14:paraId="785CC024">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13</w:t>
            </w:r>
            <w:r>
              <w:rPr>
                <w:rFonts w:hint="eastAsia" w:ascii="宋体" w:hAnsi="宋体" w:cs="宋体"/>
                <w:color w:val="auto"/>
                <w:kern w:val="0"/>
                <w:sz w:val="24"/>
              </w:rPr>
              <w:t>、积极协助医院预防、消灭病媒生物，清除病媒生物滋生地。</w:t>
            </w:r>
          </w:p>
          <w:p w14:paraId="4CB3500A">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14、</w:t>
            </w:r>
            <w:r>
              <w:rPr>
                <w:rFonts w:hint="eastAsia" w:ascii="宋体" w:hAnsi="宋体" w:cs="宋体"/>
                <w:color w:val="auto"/>
                <w:kern w:val="0"/>
                <w:sz w:val="24"/>
              </w:rPr>
              <w:t>负责区域内路面、垃圾箱、扶梯、栏杆、装饰物等巡回清洁。</w:t>
            </w:r>
          </w:p>
          <w:p w14:paraId="64E64FDA">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15、</w:t>
            </w:r>
            <w:r>
              <w:rPr>
                <w:rFonts w:hint="eastAsia" w:ascii="宋体" w:hAnsi="宋体" w:cs="宋体"/>
                <w:color w:val="auto"/>
                <w:kern w:val="0"/>
                <w:sz w:val="24"/>
              </w:rPr>
              <w:t>负责区域内路面、停车场、草坪、花坛内的垃圾巡回收集、清洁。</w:t>
            </w:r>
          </w:p>
          <w:p w14:paraId="4DD7D8E8">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color w:val="auto"/>
                <w:kern w:val="0"/>
                <w:sz w:val="24"/>
              </w:rPr>
            </w:pPr>
            <w:r>
              <w:rPr>
                <w:rFonts w:hint="eastAsia" w:ascii="宋体" w:hAnsi="宋体" w:cs="宋体"/>
                <w:color w:val="auto"/>
                <w:kern w:val="0"/>
                <w:sz w:val="24"/>
                <w:lang w:val="en-US" w:eastAsia="zh-CN"/>
              </w:rPr>
              <w:t>16、</w:t>
            </w:r>
            <w:r>
              <w:rPr>
                <w:rFonts w:hint="eastAsia" w:ascii="宋体" w:hAnsi="宋体" w:cs="宋体"/>
                <w:color w:val="auto"/>
                <w:kern w:val="0"/>
                <w:sz w:val="24"/>
              </w:rPr>
              <w:t>负责区域内座椅、坐凳、垃圾箱(桶)、果皮箱、标识标牌、设施设备等每日巡回清洁。</w:t>
            </w:r>
          </w:p>
          <w:p w14:paraId="153DBBBF">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lang w:val="en-US" w:eastAsia="zh-CN"/>
              </w:rPr>
              <w:t>17</w:t>
            </w:r>
            <w:r>
              <w:rPr>
                <w:rFonts w:hint="eastAsia" w:ascii="宋体" w:hAnsi="宋体" w:cs="宋体"/>
                <w:color w:val="auto"/>
                <w:kern w:val="0"/>
                <w:sz w:val="24"/>
              </w:rPr>
              <w:t>、区域内所有路面保持洁净，做到到边到角，垃圾杂物入桶。雨雪天气，要及时清理道路积水、积雪，不得造成雪水积存。</w:t>
            </w:r>
          </w:p>
          <w:p w14:paraId="586942FA">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color w:val="auto"/>
                <w:kern w:val="0"/>
                <w:sz w:val="24"/>
              </w:rPr>
            </w:pPr>
            <w:r>
              <w:rPr>
                <w:rFonts w:hint="eastAsia" w:ascii="宋体" w:hAnsi="宋体" w:cs="宋体"/>
                <w:color w:val="auto"/>
                <w:kern w:val="0"/>
                <w:sz w:val="24"/>
                <w:lang w:val="en-US" w:eastAsia="zh-CN"/>
              </w:rPr>
              <w:t>18</w:t>
            </w:r>
            <w:r>
              <w:rPr>
                <w:rFonts w:hint="eastAsia" w:ascii="宋体" w:hAnsi="宋体" w:cs="宋体"/>
                <w:color w:val="auto"/>
                <w:kern w:val="0"/>
                <w:sz w:val="24"/>
              </w:rPr>
              <w:t>、区域内草坪、花坛内无杂物。</w:t>
            </w:r>
          </w:p>
          <w:p w14:paraId="79DA0DF5">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19、</w:t>
            </w:r>
            <w:r>
              <w:rPr>
                <w:rFonts w:hint="eastAsia" w:ascii="宋体" w:hAnsi="宋体" w:cs="宋体"/>
                <w:color w:val="auto"/>
                <w:kern w:val="0"/>
                <w:sz w:val="24"/>
              </w:rPr>
              <w:t>电梯轿厢的日常保洁、消毒</w:t>
            </w:r>
            <w:r>
              <w:rPr>
                <w:rFonts w:hint="eastAsia" w:ascii="宋体" w:hAnsi="宋体" w:cs="宋体"/>
                <w:color w:val="auto"/>
                <w:kern w:val="0"/>
                <w:sz w:val="24"/>
                <w:lang w:eastAsia="zh-CN"/>
              </w:rPr>
              <w:t>。</w:t>
            </w:r>
          </w:p>
          <w:p w14:paraId="2F41EE5C">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color w:val="auto"/>
                <w:kern w:val="0"/>
                <w:sz w:val="24"/>
              </w:rPr>
            </w:pPr>
          </w:p>
          <w:p w14:paraId="55E24D30">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val="0"/>
                <w:color w:val="auto"/>
                <w:kern w:val="0"/>
                <w:sz w:val="24"/>
              </w:rPr>
            </w:pPr>
            <w:r>
              <w:rPr>
                <w:rFonts w:hint="eastAsia" w:ascii="宋体" w:hAnsi="宋体" w:cs="宋体"/>
                <w:b/>
                <w:bCs w:val="0"/>
                <w:color w:val="auto"/>
                <w:kern w:val="0"/>
                <w:sz w:val="24"/>
                <w:lang w:eastAsia="zh-CN"/>
              </w:rPr>
              <w:t>（二）</w:t>
            </w:r>
            <w:r>
              <w:rPr>
                <w:rFonts w:hint="eastAsia" w:ascii="宋体" w:hAnsi="宋体" w:cs="宋体"/>
                <w:b/>
                <w:bCs w:val="0"/>
                <w:color w:val="auto"/>
                <w:kern w:val="0"/>
                <w:sz w:val="24"/>
              </w:rPr>
              <w:t>生活垃圾、医疗废物回收人员职责及范围</w:t>
            </w:r>
          </w:p>
          <w:p w14:paraId="476421D5">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1、各区域生活垃圾及医疗废物按采购人要求及时转运倾倒。</w:t>
            </w:r>
          </w:p>
          <w:p w14:paraId="5CC3DD64">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2、各科室的生活垃圾袋三分之二满应及时更换，上、下午各更换一次，特殊情况增加更换次数。</w:t>
            </w:r>
          </w:p>
          <w:p w14:paraId="794423DC">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3、医疗废物一律用印有标记的黄色专用包装袋，医疗废物回收与科室指定人员当面称重双方签字、转运存放至医疗废物暂存处，并及时清洗消毒回收车辆。</w:t>
            </w:r>
          </w:p>
          <w:p w14:paraId="5F48146D">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4、严格按照采购人要求回收各类垃圾，加强个人防护。</w:t>
            </w:r>
          </w:p>
          <w:p w14:paraId="6D63A02A">
            <w:pPr>
              <w:keepNext w:val="0"/>
              <w:keepLines w:val="0"/>
              <w:pageBreakBefore w:val="0"/>
              <w:widowControl/>
              <w:kinsoku/>
              <w:wordWrap/>
              <w:overflowPunct/>
              <w:topLinePunct w:val="0"/>
              <w:autoSpaceDE/>
              <w:autoSpaceDN/>
              <w:bidi w:val="0"/>
              <w:adjustRightInd/>
              <w:snapToGrid w:val="0"/>
              <w:spacing w:line="340" w:lineRule="exact"/>
              <w:textAlignment w:val="auto"/>
              <w:rPr>
                <w:rFonts w:hint="eastAsia" w:ascii="宋体" w:hAnsi="宋体" w:cs="宋体"/>
                <w:b/>
                <w:bCs w:val="0"/>
                <w:color w:val="auto"/>
                <w:kern w:val="0"/>
                <w:sz w:val="24"/>
              </w:rPr>
            </w:pPr>
            <w:r>
              <w:rPr>
                <w:rFonts w:hint="eastAsia" w:ascii="宋体" w:hAnsi="宋体" w:cs="宋体"/>
                <w:b/>
                <w:bCs w:val="0"/>
                <w:color w:val="auto"/>
                <w:kern w:val="0"/>
                <w:sz w:val="24"/>
                <w:lang w:eastAsia="zh-CN"/>
              </w:rPr>
              <w:t>（三）</w:t>
            </w:r>
            <w:r>
              <w:rPr>
                <w:rFonts w:hint="eastAsia" w:ascii="宋体" w:hAnsi="宋体" w:cs="宋体"/>
                <w:b/>
                <w:bCs w:val="0"/>
                <w:color w:val="auto"/>
                <w:kern w:val="0"/>
                <w:sz w:val="24"/>
              </w:rPr>
              <w:t>采购人交办的其他保洁服务工作</w:t>
            </w:r>
          </w:p>
          <w:p w14:paraId="3B64C3F8">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1、如病区内住院患者比科室原有床位超过80%以上时必须再增加保洁员一名，确保科室环境卫生良好（费用由中标公司承担）。</w:t>
            </w:r>
          </w:p>
          <w:p w14:paraId="7B90F329">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2、医院有重大活动和与本项目相关的突发事件时，中标公司接到通知后应立即做好工作安排，并严格按照医院计划实施，不再另计费用，费用由中标公司承担。 </w:t>
            </w:r>
          </w:p>
          <w:p w14:paraId="3FCEB97A">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二、服务标准</w:t>
            </w:r>
          </w:p>
          <w:p w14:paraId="078B5097">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1、要求对区域内的卫生保洁工作做到全覆盖。提供16小时的室内外清洁服务，特殊情况、手术室、急诊</w:t>
            </w:r>
            <w:r>
              <w:rPr>
                <w:rFonts w:hint="eastAsia" w:ascii="宋体" w:hAnsi="宋体" w:cs="宋体"/>
                <w:color w:val="auto"/>
                <w:kern w:val="0"/>
                <w:sz w:val="24"/>
                <w:lang w:eastAsia="zh-CN"/>
              </w:rPr>
              <w:t>保洁需随叫随到</w:t>
            </w:r>
            <w:r>
              <w:rPr>
                <w:rFonts w:hint="eastAsia" w:ascii="宋体" w:hAnsi="宋体" w:cs="宋体"/>
                <w:color w:val="auto"/>
                <w:kern w:val="0"/>
                <w:sz w:val="24"/>
              </w:rPr>
              <w:t xml:space="preserve">。 </w:t>
            </w:r>
          </w:p>
          <w:p w14:paraId="3FB39A90">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2、供应商提供保洁质量考核办法、工作细则、操作流程，保洁服务固定人员数及人员主要简历情况、奖罚措施、保洁用具等。</w:t>
            </w:r>
          </w:p>
          <w:p w14:paraId="1E8E8D1D">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3、熟练掌握消毒剂配制方法，熟悉清洁消毒原则，熟练应用和掌握各种保洁工具和设备，妥善保管好各种保洁工具及设备，不得浪费和私用，不野蛮操作。</w:t>
            </w:r>
          </w:p>
          <w:p w14:paraId="646BD25D">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4、熟知本保洁区域工作细则，保质保量的完成区域内的清洁工作。 </w:t>
            </w:r>
          </w:p>
          <w:p w14:paraId="7CBD2D6F">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5、及时、耐心劝阻和制止不卫生、不文明的现象。</w:t>
            </w:r>
          </w:p>
          <w:p w14:paraId="574C1761">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6、保洁人员要求定岗。到岗人员情况及调换应及时告知各病区护士长，医技科室主任及相应科室负责人。若要调离必须征求科室负责人意见，对不负责任，工作表现差的人员，护士长及科室负责人有权提出调离，供应商应及时安排顶替人员到岗。</w:t>
            </w:r>
          </w:p>
          <w:p w14:paraId="6EDFB8EC">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7、保洁人员严格按照医院《环境表面清洁与消毒管理规范》执行。</w:t>
            </w:r>
          </w:p>
          <w:p w14:paraId="1706972E">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8、要求有机动调度人员，以应对节假日或平时保洁员休息时出现人员不足问题。</w:t>
            </w:r>
          </w:p>
          <w:p w14:paraId="3AEA1992">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9、具体工作时间：</w:t>
            </w:r>
          </w:p>
          <w:p w14:paraId="5FE1539A">
            <w:pPr>
              <w:keepNext w:val="0"/>
              <w:keepLines w:val="0"/>
              <w:pageBreakBefore w:val="0"/>
              <w:widowControl/>
              <w:kinsoku/>
              <w:wordWrap/>
              <w:overflowPunct/>
              <w:topLinePunct w:val="0"/>
              <w:autoSpaceDE/>
              <w:autoSpaceDN/>
              <w:bidi w:val="0"/>
              <w:adjustRightInd/>
              <w:snapToGrid w:val="0"/>
              <w:spacing w:line="340" w:lineRule="exact"/>
              <w:ind w:firstLine="240" w:firstLineChars="100"/>
              <w:textAlignment w:val="auto"/>
              <w:rPr>
                <w:rFonts w:ascii="宋体" w:hAnsi="宋体" w:cs="宋体"/>
                <w:color w:val="auto"/>
                <w:kern w:val="0"/>
                <w:sz w:val="24"/>
              </w:rPr>
            </w:pPr>
            <w:r>
              <w:rPr>
                <w:rFonts w:hint="eastAsia" w:ascii="宋体" w:hAnsi="宋体" w:cs="宋体"/>
                <w:color w:val="auto"/>
                <w:kern w:val="0"/>
                <w:sz w:val="24"/>
              </w:rPr>
              <w:t>夏季正常班 6：30——11：00  1</w:t>
            </w:r>
            <w:r>
              <w:rPr>
                <w:rFonts w:hint="eastAsia" w:ascii="宋体" w:hAnsi="宋体" w:cs="宋体"/>
                <w:color w:val="auto"/>
                <w:kern w:val="0"/>
                <w:sz w:val="24"/>
                <w:lang w:val="en-US" w:eastAsia="zh-CN"/>
              </w:rPr>
              <w:t>3</w:t>
            </w:r>
            <w:r>
              <w:rPr>
                <w:rFonts w:hint="eastAsia" w:ascii="宋体" w:hAnsi="宋体" w:cs="宋体"/>
                <w:color w:val="auto"/>
                <w:kern w:val="0"/>
                <w:sz w:val="24"/>
              </w:rPr>
              <w:t>：00——17：</w:t>
            </w:r>
            <w:r>
              <w:rPr>
                <w:rFonts w:hint="eastAsia" w:ascii="宋体" w:hAnsi="宋体" w:cs="宋体"/>
                <w:color w:val="auto"/>
                <w:kern w:val="0"/>
                <w:sz w:val="24"/>
                <w:lang w:val="en-US" w:eastAsia="zh-CN"/>
              </w:rPr>
              <w:t>0</w:t>
            </w:r>
            <w:r>
              <w:rPr>
                <w:rFonts w:hint="eastAsia" w:ascii="宋体" w:hAnsi="宋体" w:cs="宋体"/>
                <w:color w:val="auto"/>
                <w:kern w:val="0"/>
                <w:sz w:val="24"/>
              </w:rPr>
              <w:t xml:space="preserve">0 </w:t>
            </w:r>
          </w:p>
          <w:p w14:paraId="71BAB171">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  中  班11：00——13：</w:t>
            </w:r>
            <w:r>
              <w:rPr>
                <w:rFonts w:hint="eastAsia" w:ascii="宋体" w:hAnsi="宋体" w:cs="宋体"/>
                <w:color w:val="auto"/>
                <w:kern w:val="0"/>
                <w:sz w:val="24"/>
                <w:lang w:val="en-US" w:eastAsia="zh-CN"/>
              </w:rPr>
              <w:t>0</w:t>
            </w:r>
            <w:r>
              <w:rPr>
                <w:rFonts w:hint="eastAsia" w:ascii="宋体" w:hAnsi="宋体" w:cs="宋体"/>
                <w:color w:val="auto"/>
                <w:kern w:val="0"/>
                <w:sz w:val="24"/>
              </w:rPr>
              <w:t>0 ；晚  班17：</w:t>
            </w:r>
            <w:r>
              <w:rPr>
                <w:rFonts w:hint="eastAsia" w:ascii="宋体" w:hAnsi="宋体" w:cs="宋体"/>
                <w:color w:val="auto"/>
                <w:kern w:val="0"/>
                <w:sz w:val="24"/>
                <w:lang w:val="en-US" w:eastAsia="zh-CN"/>
              </w:rPr>
              <w:t>0</w:t>
            </w:r>
            <w:r>
              <w:rPr>
                <w:rFonts w:hint="eastAsia" w:ascii="宋体" w:hAnsi="宋体" w:cs="宋体"/>
                <w:color w:val="auto"/>
                <w:kern w:val="0"/>
                <w:sz w:val="24"/>
              </w:rPr>
              <w:t xml:space="preserve">0——22：00 </w:t>
            </w:r>
          </w:p>
          <w:p w14:paraId="5DB5A29B">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三、人员素质要求</w:t>
            </w:r>
          </w:p>
          <w:p w14:paraId="3008E592">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1、工作责任心强，能严格遵守医院各项规章制度，接受医院管理部门的监督及相关科室有关人员的管理。自觉做到微笑服务，礼貌服务，细心服务，热情服务。</w:t>
            </w:r>
          </w:p>
          <w:p w14:paraId="2BCD51F6">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2、保洁人员必须着统一工作服，佩戴统一工作牌。</w:t>
            </w:r>
          </w:p>
          <w:p w14:paraId="350D82AE">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3、保洁人员必须经过岗前培训，素质形象良好，年富力强，原则要求年龄不超过60岁。 </w:t>
            </w:r>
          </w:p>
          <w:p w14:paraId="3CDEF903">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4、对患者有同情心，态度和蔼，不得与患者及家属争执；不索要患者及家属的钱、物和礼品。</w:t>
            </w:r>
          </w:p>
          <w:p w14:paraId="3ED7FB77">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5、上班时不准穿高跟鞋或拖鞋，不准穿裙子、短裤。</w:t>
            </w:r>
          </w:p>
          <w:p w14:paraId="78CE5895">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6、上班时不准留怪异发型，不允许浓妆艳抹、佩戴手饰，长发统一盘起。</w:t>
            </w:r>
          </w:p>
          <w:p w14:paraId="14B7853B">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7、工作中需进入办公地点，必须先敲门，经允许后方可进入。</w:t>
            </w:r>
          </w:p>
          <w:p w14:paraId="2FD3B81A">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四、风险要求</w:t>
            </w:r>
          </w:p>
          <w:p w14:paraId="1985C20B">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1、医院将对保洁服务质量进行全过程监控，供应商若出现人员年龄不符合要求、人数不够、日常工作不到位、服务质量不达标、受到职工及患者对保洁服务投诉等现象，医院将依据合同约定，做出相应的违约处理与处罚。</w:t>
            </w:r>
          </w:p>
          <w:p w14:paraId="5A307475">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2、保洁人员在岗履行工作职责期间，若发生自身的人身伤害、伤亡等事件均由供应商负责，医院不承担任何责任。</w:t>
            </w:r>
          </w:p>
          <w:p w14:paraId="2596D634">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3、保洁人员在保洁服务中违反国家相关法规或操作规范，若发生纠纷或造成他人人身伤害、伤亡的，均由供应商负责，医院不承担任何责任。</w:t>
            </w:r>
          </w:p>
          <w:p w14:paraId="52621686">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4、供应商在医院重大活动及上级迎检中，出现重大失误影响到医院有关荣誉的医院有权终止合同。</w:t>
            </w:r>
          </w:p>
          <w:p w14:paraId="0DBC943C">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5、保洁人员做到四轻：轻拿、轻放、轻说、轻走。爱惜、保护医院的一切设施和物品，如有损坏照价赔偿。</w:t>
            </w:r>
          </w:p>
          <w:p w14:paraId="19199106">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6、严禁使用易燃、含强酸、强碱带腐蚀性的清洁剂。严禁使用会造成物品损坏、设备设施腐蚀、变色、变形的清洁剂。任何使用清洁剂造成的物品损坏、设备设施腐蚀、变色、变形等问题，均由供应商承担全部责任。</w:t>
            </w:r>
          </w:p>
          <w:p w14:paraId="42413712">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五、考核要求</w:t>
            </w:r>
          </w:p>
          <w:p w14:paraId="3C2106FA">
            <w:pPr>
              <w:keepNext w:val="0"/>
              <w:keepLines w:val="0"/>
              <w:pageBreakBefore w:val="0"/>
              <w:widowControl/>
              <w:kinsoku/>
              <w:wordWrap/>
              <w:overflowPunct/>
              <w:topLinePunct w:val="0"/>
              <w:autoSpaceDE/>
              <w:autoSpaceDN/>
              <w:bidi w:val="0"/>
              <w:adjustRightInd/>
              <w:snapToGrid w:val="0"/>
              <w:spacing w:line="34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为确保服务质量，医院将对保洁服务进行每月一次的考核，满分为100分。考核依据《</w:t>
            </w:r>
            <w:r>
              <w:rPr>
                <w:rFonts w:hint="eastAsia" w:ascii="宋体" w:hAnsi="宋体" w:cs="宋体"/>
                <w:color w:val="auto"/>
                <w:kern w:val="0"/>
                <w:sz w:val="24"/>
                <w:lang w:eastAsia="zh-CN"/>
              </w:rPr>
              <w:t>永城市</w:t>
            </w:r>
            <w:r>
              <w:rPr>
                <w:rFonts w:hint="eastAsia" w:ascii="宋体" w:hAnsi="宋体" w:cs="宋体"/>
                <w:color w:val="auto"/>
                <w:kern w:val="0"/>
                <w:sz w:val="24"/>
              </w:rPr>
              <w:t>中心医院保洁员质量检查表》和《</w:t>
            </w:r>
            <w:r>
              <w:rPr>
                <w:rFonts w:hint="eastAsia" w:ascii="宋体" w:hAnsi="宋体" w:cs="宋体"/>
                <w:color w:val="auto"/>
                <w:kern w:val="0"/>
                <w:sz w:val="24"/>
                <w:lang w:eastAsia="zh-CN"/>
              </w:rPr>
              <w:t>永城市</w:t>
            </w:r>
            <w:r>
              <w:rPr>
                <w:rFonts w:hint="eastAsia" w:ascii="宋体" w:hAnsi="宋体" w:cs="宋体"/>
                <w:color w:val="auto"/>
                <w:kern w:val="0"/>
                <w:sz w:val="24"/>
              </w:rPr>
              <w:t>中心医院保洁检查表》进行。每月付款前，根据考核成绩，90分及以上视为满意，按照合同支付当月服务费用；89-85分扣除当月服务费用总金额的1%；84-80分扣除当月服务费用总金额的2%；79-75分扣除当月服务费用总金额的3%；74-70分扣除当月服务费用总金额的4%；69分及以下扣除当月服务费用总金额的10%。如连续3次考核低于80分，医院有权解除合同，由此造成的损失，由中标人自行承担。</w:t>
            </w:r>
          </w:p>
          <w:p w14:paraId="49845489">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六、培训要求</w:t>
            </w:r>
          </w:p>
          <w:p w14:paraId="7B6AF00B">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每名保洁人员在上岗前需培训考核后方可上岗，建立完善的培训跟踪考核档案。每月中标公司对保洁及专项保洁人员进行相关专业培训以及技术交流指导等各项工作，并建立系统的培训记录及跟踪档案。</w:t>
            </w:r>
          </w:p>
          <w:p w14:paraId="6138D882">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七、食宿要求</w:t>
            </w:r>
          </w:p>
          <w:p w14:paraId="70344295">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所有保洁人员在岗期间饮食自理，不准在值班地点做饭。</w:t>
            </w:r>
          </w:p>
          <w:p w14:paraId="42701419">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b/>
                <w:bCs/>
                <w:color w:val="auto"/>
                <w:kern w:val="0"/>
                <w:sz w:val="24"/>
              </w:rPr>
            </w:pPr>
            <w:r>
              <w:rPr>
                <w:rFonts w:hint="eastAsia" w:ascii="宋体" w:hAnsi="宋体" w:cs="宋体"/>
                <w:b/>
                <w:bCs/>
                <w:color w:val="auto"/>
                <w:kern w:val="0"/>
                <w:sz w:val="24"/>
              </w:rPr>
              <w:t>八、工具物料要求</w:t>
            </w:r>
          </w:p>
          <w:p w14:paraId="075DDFCB">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1、中标公司必须配备指纹考勤机、喷香机、卫生间除异味设备设施、保洁专用车、清洗设备、洗地机（室内外）、消毒清洗设备等相关技术设备。 </w:t>
            </w:r>
          </w:p>
          <w:p w14:paraId="67A67B36">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2、日常清洁药剂、消毒剂（清洗剂、保养剂、含氯消毒液等）。 </w:t>
            </w:r>
          </w:p>
          <w:p w14:paraId="320AD8A7">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3、日常工具按医院要求配备（除塑料袋和垃圾桶外所有的保洁工具，如扫帚、尘推、拖把、簸箕、地巾、抹布等）。 </w:t>
            </w:r>
          </w:p>
          <w:p w14:paraId="7458DAD8">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4、特种作业时各种警示牌、告示牌。 </w:t>
            </w:r>
          </w:p>
          <w:p w14:paraId="174A4BD3">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5、保洁人员不得使用破旧、损坏的保洁工具。</w:t>
            </w:r>
          </w:p>
          <w:p w14:paraId="058B01AC">
            <w:pPr>
              <w:keepNext w:val="0"/>
              <w:keepLines w:val="0"/>
              <w:pageBreakBefore w:val="0"/>
              <w:widowControl/>
              <w:kinsoku/>
              <w:wordWrap/>
              <w:overflowPunct/>
              <w:topLinePunct w:val="0"/>
              <w:autoSpaceDE/>
              <w:autoSpaceDN/>
              <w:bidi w:val="0"/>
              <w:adjustRightInd/>
              <w:snapToGrid w:val="0"/>
              <w:spacing w:line="340" w:lineRule="exact"/>
              <w:textAlignment w:val="auto"/>
              <w:rPr>
                <w:rFonts w:ascii="宋体" w:hAnsi="宋体" w:cs="宋体"/>
                <w:color w:val="auto"/>
                <w:kern w:val="0"/>
                <w:sz w:val="24"/>
              </w:rPr>
            </w:pPr>
            <w:r>
              <w:rPr>
                <w:rFonts w:hint="eastAsia" w:ascii="宋体" w:hAnsi="宋体" w:cs="宋体"/>
                <w:color w:val="auto"/>
                <w:kern w:val="0"/>
                <w:sz w:val="24"/>
              </w:rPr>
              <w:t xml:space="preserve">6、所用清洁物料产品必须是正规品牌和符合国家卫生相关要求的产品为标准，严禁使用私自勾兑、假冒伪劣、强酸强碱性能够带给医院设施设备延时性损坏的其它产品。中标供应商所提供的清洁清洗设备需提供购买合同与发票证明。 </w:t>
            </w:r>
          </w:p>
        </w:tc>
      </w:tr>
      <w:tr w14:paraId="76E9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00" w:type="dxa"/>
            <w:gridSpan w:val="3"/>
            <w:noWrap w:val="0"/>
            <w:vAlign w:val="center"/>
          </w:tcPr>
          <w:p w14:paraId="59987483">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服务标准</w:t>
            </w:r>
          </w:p>
        </w:tc>
        <w:tc>
          <w:tcPr>
            <w:tcW w:w="10302" w:type="dxa"/>
            <w:noWrap w:val="0"/>
            <w:vAlign w:val="center"/>
          </w:tcPr>
          <w:p w14:paraId="0D6A6B44">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国家标准、行业标准、地区标准等标准规范。</w:t>
            </w:r>
          </w:p>
        </w:tc>
      </w:tr>
    </w:tbl>
    <w:p w14:paraId="011F4555">
      <w:pPr>
        <w:widowControl/>
        <w:snapToGrid w:val="0"/>
        <w:spacing w:line="360" w:lineRule="auto"/>
        <w:rPr>
          <w:rFonts w:ascii="黑体" w:hAnsi="黑体" w:eastAsia="黑体" w:cs="宋体"/>
          <w:bCs/>
          <w:kern w:val="0"/>
          <w:sz w:val="24"/>
        </w:rPr>
      </w:pPr>
      <w:r>
        <w:rPr>
          <w:rFonts w:hint="eastAsia" w:ascii="黑体" w:hAnsi="黑体" w:eastAsia="黑体" w:cs="宋体"/>
          <w:bCs/>
          <w:kern w:val="0"/>
          <w:sz w:val="24"/>
        </w:rPr>
        <w:t>二、商务要求</w:t>
      </w:r>
    </w:p>
    <w:tbl>
      <w:tblPr>
        <w:tblStyle w:val="24"/>
        <w:tblW w:w="1328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5"/>
        <w:gridCol w:w="10300"/>
      </w:tblGrid>
      <w:tr w14:paraId="5C79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85" w:type="dxa"/>
            <w:noWrap w:val="0"/>
            <w:vAlign w:val="center"/>
          </w:tcPr>
          <w:p w14:paraId="3AD3B4D4">
            <w:pPr>
              <w:widowControl/>
              <w:snapToGrid w:val="0"/>
              <w:spacing w:line="360" w:lineRule="auto"/>
              <w:rPr>
                <w:rFonts w:ascii="宋体" w:hAnsi="宋体" w:cs="宋体"/>
                <w:kern w:val="0"/>
                <w:sz w:val="24"/>
              </w:rPr>
            </w:pPr>
            <w:r>
              <w:rPr>
                <w:rFonts w:hint="eastAsia" w:ascii="宋体" w:hAnsi="宋体" w:cs="宋体"/>
                <w:kern w:val="0"/>
                <w:sz w:val="24"/>
              </w:rPr>
              <w:t>服务期限</w:t>
            </w:r>
          </w:p>
        </w:tc>
        <w:tc>
          <w:tcPr>
            <w:tcW w:w="10300" w:type="dxa"/>
            <w:noWrap w:val="0"/>
            <w:vAlign w:val="top"/>
          </w:tcPr>
          <w:p w14:paraId="67DBC001">
            <w:pPr>
              <w:widowControl/>
              <w:snapToGrid w:val="0"/>
              <w:spacing w:line="360" w:lineRule="auto"/>
              <w:rPr>
                <w:rFonts w:ascii="宋体" w:hAnsi="宋体" w:cs="宋体"/>
                <w:kern w:val="0"/>
                <w:sz w:val="24"/>
              </w:rPr>
            </w:pPr>
            <w:r>
              <w:rPr>
                <w:rFonts w:hint="eastAsia" w:ascii="宋体" w:hAnsi="宋体" w:cs="宋体"/>
                <w:kern w:val="0"/>
                <w:sz w:val="24"/>
              </w:rPr>
              <w:t>3年，合同一年一签。</w:t>
            </w:r>
          </w:p>
        </w:tc>
      </w:tr>
      <w:tr w14:paraId="01D8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noWrap w:val="0"/>
            <w:vAlign w:val="center"/>
          </w:tcPr>
          <w:p w14:paraId="23992F97">
            <w:pPr>
              <w:widowControl/>
              <w:snapToGrid w:val="0"/>
              <w:spacing w:line="360" w:lineRule="auto"/>
              <w:rPr>
                <w:rFonts w:ascii="宋体" w:hAnsi="宋体" w:cs="宋体"/>
                <w:kern w:val="0"/>
                <w:sz w:val="24"/>
              </w:rPr>
            </w:pPr>
            <w:r>
              <w:rPr>
                <w:rFonts w:hint="eastAsia" w:ascii="宋体" w:hAnsi="宋体" w:cs="宋体"/>
                <w:kern w:val="0"/>
                <w:sz w:val="24"/>
              </w:rPr>
              <w:t>服务地点</w:t>
            </w:r>
          </w:p>
        </w:tc>
        <w:tc>
          <w:tcPr>
            <w:tcW w:w="10300" w:type="dxa"/>
            <w:noWrap w:val="0"/>
            <w:vAlign w:val="top"/>
          </w:tcPr>
          <w:p w14:paraId="7887E650">
            <w:pPr>
              <w:widowControl/>
              <w:snapToGrid w:val="0"/>
              <w:spacing w:line="360" w:lineRule="auto"/>
              <w:rPr>
                <w:rFonts w:ascii="宋体" w:hAnsi="宋体" w:cs="宋体"/>
                <w:kern w:val="0"/>
                <w:sz w:val="24"/>
              </w:rPr>
            </w:pPr>
            <w:r>
              <w:rPr>
                <w:rFonts w:hint="eastAsia" w:ascii="宋体" w:hAnsi="宋体" w:cs="宋体"/>
                <w:kern w:val="0"/>
                <w:sz w:val="24"/>
                <w:lang w:eastAsia="zh-CN"/>
              </w:rPr>
              <w:t>永城</w:t>
            </w:r>
            <w:r>
              <w:rPr>
                <w:rFonts w:hint="eastAsia" w:ascii="宋体" w:hAnsi="宋体" w:cs="宋体"/>
                <w:kern w:val="0"/>
                <w:sz w:val="24"/>
              </w:rPr>
              <w:t>市中心医院</w:t>
            </w:r>
          </w:p>
        </w:tc>
      </w:tr>
      <w:tr w14:paraId="5D30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noWrap w:val="0"/>
            <w:vAlign w:val="center"/>
          </w:tcPr>
          <w:p w14:paraId="3FD40777">
            <w:pPr>
              <w:widowControl/>
              <w:snapToGrid w:val="0"/>
              <w:spacing w:line="360" w:lineRule="auto"/>
              <w:rPr>
                <w:rFonts w:ascii="宋体" w:hAnsi="宋体" w:cs="宋体"/>
                <w:kern w:val="0"/>
                <w:sz w:val="24"/>
              </w:rPr>
            </w:pPr>
            <w:r>
              <w:rPr>
                <w:rFonts w:hint="eastAsia" w:ascii="宋体" w:hAnsi="宋体" w:cs="宋体"/>
                <w:kern w:val="0"/>
                <w:sz w:val="24"/>
              </w:rPr>
              <w:t>合同签订时间</w:t>
            </w:r>
          </w:p>
        </w:tc>
        <w:tc>
          <w:tcPr>
            <w:tcW w:w="10300" w:type="dxa"/>
            <w:noWrap w:val="0"/>
            <w:vAlign w:val="top"/>
          </w:tcPr>
          <w:p w14:paraId="683CD0A6">
            <w:pPr>
              <w:widowControl/>
              <w:snapToGrid w:val="0"/>
              <w:spacing w:line="360" w:lineRule="auto"/>
              <w:rPr>
                <w:rFonts w:ascii="宋体" w:hAnsi="宋体" w:cs="宋体"/>
                <w:kern w:val="0"/>
                <w:sz w:val="24"/>
              </w:rPr>
            </w:pPr>
            <w:r>
              <w:rPr>
                <w:rFonts w:hint="eastAsia" w:ascii="宋体" w:hAnsi="宋体" w:cs="宋体"/>
                <w:kern w:val="0"/>
                <w:sz w:val="24"/>
              </w:rPr>
              <w:t>中标通知书发出之日起</w:t>
            </w:r>
            <w:r>
              <w:rPr>
                <w:rFonts w:hint="eastAsia" w:ascii="宋体" w:hAnsi="宋体" w:cs="宋体"/>
                <w:kern w:val="0"/>
                <w:sz w:val="24"/>
                <w:u w:val="single"/>
              </w:rPr>
              <w:t xml:space="preserve"> </w:t>
            </w:r>
            <w:r>
              <w:rPr>
                <w:rFonts w:hint="eastAsia" w:ascii="宋体" w:hAnsi="宋体" w:cs="宋体"/>
                <w:kern w:val="0"/>
                <w:sz w:val="24"/>
                <w:u w:val="single"/>
                <w:lang w:val="en-US" w:eastAsia="zh-CN"/>
              </w:rPr>
              <w:t>7</w:t>
            </w:r>
            <w:r>
              <w:rPr>
                <w:rFonts w:hint="eastAsia" w:ascii="宋体" w:hAnsi="宋体" w:cs="宋体"/>
                <w:kern w:val="0"/>
                <w:sz w:val="24"/>
                <w:u w:val="single"/>
              </w:rPr>
              <w:t xml:space="preserve"> </w:t>
            </w:r>
            <w:r>
              <w:rPr>
                <w:rFonts w:hint="eastAsia" w:ascii="宋体" w:hAnsi="宋体" w:cs="宋体"/>
                <w:kern w:val="0"/>
                <w:sz w:val="24"/>
              </w:rPr>
              <w:t>日内。</w:t>
            </w:r>
          </w:p>
        </w:tc>
      </w:tr>
      <w:tr w14:paraId="4409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5" w:type="dxa"/>
            <w:noWrap w:val="0"/>
            <w:vAlign w:val="center"/>
          </w:tcPr>
          <w:p w14:paraId="4F6DB08B">
            <w:pPr>
              <w:widowControl/>
              <w:snapToGrid w:val="0"/>
              <w:spacing w:line="360" w:lineRule="auto"/>
              <w:rPr>
                <w:rFonts w:ascii="宋体" w:hAnsi="宋体" w:cs="宋体"/>
                <w:kern w:val="0"/>
                <w:sz w:val="24"/>
              </w:rPr>
            </w:pPr>
            <w:r>
              <w:rPr>
                <w:rFonts w:hint="eastAsia" w:ascii="宋体" w:hAnsi="宋体" w:cs="宋体"/>
                <w:kern w:val="0"/>
                <w:sz w:val="24"/>
              </w:rPr>
              <w:t>付款方式</w:t>
            </w:r>
          </w:p>
        </w:tc>
        <w:tc>
          <w:tcPr>
            <w:tcW w:w="10300" w:type="dxa"/>
            <w:noWrap w:val="0"/>
            <w:vAlign w:val="top"/>
          </w:tcPr>
          <w:p w14:paraId="0D8FFAC1">
            <w:pPr>
              <w:widowControl/>
              <w:snapToGrid w:val="0"/>
              <w:spacing w:line="360" w:lineRule="auto"/>
              <w:rPr>
                <w:rFonts w:ascii="宋体" w:hAnsi="宋体" w:cs="宋体"/>
                <w:kern w:val="0"/>
                <w:sz w:val="24"/>
              </w:rPr>
            </w:pPr>
            <w:r>
              <w:rPr>
                <w:rFonts w:hint="eastAsia" w:ascii="宋体" w:hAnsi="宋体" w:cs="宋体"/>
                <w:kern w:val="0"/>
                <w:sz w:val="24"/>
              </w:rPr>
              <w:t>由中标供应商提供正规发票，次月15日前支付上月费用。</w:t>
            </w:r>
          </w:p>
        </w:tc>
      </w:tr>
    </w:tbl>
    <w:p w14:paraId="1372460E">
      <w:pPr>
        <w:pStyle w:val="5"/>
        <w:jc w:val="center"/>
        <w:rPr>
          <w:rFonts w:hint="eastAsia"/>
          <w:shd w:val="clear" w:color="auto" w:fill="FFFFFF"/>
        </w:rPr>
      </w:pPr>
      <w:r>
        <w:rPr>
          <w:rFonts w:hint="eastAsia"/>
          <w:shd w:val="clear" w:color="auto" w:fill="FFFFFF"/>
        </w:rPr>
        <w:br w:type="page"/>
      </w:r>
    </w:p>
    <w:p w14:paraId="42F43065">
      <w:pPr>
        <w:pStyle w:val="5"/>
        <w:jc w:val="center"/>
        <w:rPr>
          <w:rFonts w:hint="eastAsia"/>
          <w:shd w:val="clear" w:color="auto" w:fill="FFFFFF"/>
        </w:rPr>
      </w:pPr>
    </w:p>
    <w:p w14:paraId="3E857B53">
      <w:pPr>
        <w:pStyle w:val="5"/>
        <w:jc w:val="center"/>
        <w:rPr>
          <w:rFonts w:hint="eastAsia"/>
          <w:shd w:val="clear" w:color="auto" w:fill="FFFFFF"/>
        </w:rPr>
      </w:pPr>
    </w:p>
    <w:p w14:paraId="30E6C2EA">
      <w:pPr>
        <w:rPr>
          <w:rFonts w:hint="eastAsia"/>
          <w:shd w:val="clear" w:color="auto" w:fill="FFFFFF"/>
        </w:rPr>
      </w:pPr>
    </w:p>
    <w:p w14:paraId="1CB5B5CC">
      <w:pPr>
        <w:pStyle w:val="2"/>
        <w:rPr>
          <w:rFonts w:hint="eastAsia"/>
          <w:shd w:val="clear" w:color="auto" w:fill="FFFFFF"/>
        </w:rPr>
      </w:pPr>
    </w:p>
    <w:p w14:paraId="6B22C2A0">
      <w:pPr>
        <w:pStyle w:val="23"/>
        <w:rPr>
          <w:rFonts w:hint="eastAsia"/>
          <w:shd w:val="clear" w:color="auto" w:fill="FFFFFF"/>
        </w:rPr>
      </w:pPr>
    </w:p>
    <w:p w14:paraId="194B8CCF">
      <w:pPr>
        <w:rPr>
          <w:rFonts w:hint="eastAsia"/>
          <w:shd w:val="clear" w:color="auto" w:fill="FFFFFF"/>
        </w:rPr>
      </w:pPr>
    </w:p>
    <w:p w14:paraId="032F228A">
      <w:pPr>
        <w:pStyle w:val="2"/>
        <w:rPr>
          <w:rFonts w:hint="eastAsia"/>
          <w:shd w:val="clear" w:color="auto" w:fill="FFFFFF"/>
        </w:rPr>
      </w:pPr>
    </w:p>
    <w:p w14:paraId="5408D2F3">
      <w:pPr>
        <w:pStyle w:val="23"/>
        <w:rPr>
          <w:rFonts w:hint="eastAsia"/>
          <w:shd w:val="clear" w:color="auto" w:fill="FFFFFF"/>
        </w:rPr>
      </w:pPr>
    </w:p>
    <w:p w14:paraId="0D93CAFD">
      <w:pPr>
        <w:rPr>
          <w:rFonts w:hint="eastAsia"/>
          <w:shd w:val="clear" w:color="auto" w:fill="FFFFFF"/>
        </w:rPr>
      </w:pPr>
    </w:p>
    <w:p w14:paraId="34A1CC53">
      <w:pPr>
        <w:pStyle w:val="23"/>
        <w:ind w:left="0" w:leftChars="0" w:firstLine="0" w:firstLineChars="0"/>
        <w:rPr>
          <w:rFonts w:hint="eastAsia"/>
          <w:shd w:val="clear" w:color="auto" w:fill="FFFFFF"/>
        </w:rPr>
      </w:pPr>
    </w:p>
    <w:p w14:paraId="6472CC4F">
      <w:pPr>
        <w:rPr>
          <w:rFonts w:hint="eastAsia"/>
          <w:shd w:val="clear" w:color="auto" w:fill="FFFFFF"/>
        </w:rPr>
      </w:pPr>
    </w:p>
    <w:p w14:paraId="608C72C8">
      <w:pPr>
        <w:pStyle w:val="2"/>
        <w:rPr>
          <w:rFonts w:hint="eastAsia"/>
          <w:shd w:val="clear" w:color="auto" w:fill="FFFFFF"/>
        </w:rPr>
      </w:pPr>
    </w:p>
    <w:p w14:paraId="24DD5106">
      <w:pPr>
        <w:rPr>
          <w:rFonts w:hint="eastAsia"/>
          <w:lang w:val="en-US" w:eastAsia="zh-CN"/>
        </w:rPr>
        <w:sectPr>
          <w:footerReference r:id="rId7" w:type="default"/>
          <w:pgSz w:w="16838" w:h="23811"/>
          <w:pgMar w:top="1440" w:right="1800" w:bottom="1440" w:left="1800" w:header="0" w:footer="1070" w:gutter="0"/>
          <w:pgNumType w:fmt="decimal" w:start="1"/>
          <w:cols w:space="720" w:num="1"/>
        </w:sectPr>
      </w:pPr>
    </w:p>
    <w:p w14:paraId="1E712F9D">
      <w:pPr>
        <w:spacing w:before="78" w:line="223" w:lineRule="auto"/>
        <w:rPr>
          <w:rFonts w:ascii="楷体" w:hAnsi="楷体" w:eastAsia="楷体" w:cs="楷体"/>
          <w:sz w:val="24"/>
          <w:szCs w:val="24"/>
        </w:rPr>
      </w:pPr>
      <w:r>
        <w:rPr>
          <w:rFonts w:ascii="楷体" w:hAnsi="楷体" w:eastAsia="楷体" w:cs="楷体"/>
          <w:spacing w:val="-2"/>
          <w:sz w:val="24"/>
          <w:szCs w:val="24"/>
        </w:rPr>
        <w:t>合同编号：</w:t>
      </w:r>
      <w:r>
        <w:rPr>
          <w:rFonts w:ascii="楷体" w:hAnsi="楷体" w:eastAsia="楷体" w:cs="楷体"/>
          <w:sz w:val="24"/>
          <w:szCs w:val="24"/>
          <w:u w:val="single" w:color="auto"/>
        </w:rPr>
        <w:t xml:space="preserve">           </w:t>
      </w:r>
    </w:p>
    <w:p w14:paraId="66196ABE">
      <w:pPr>
        <w:pStyle w:val="3"/>
        <w:spacing w:line="270" w:lineRule="auto"/>
      </w:pPr>
    </w:p>
    <w:p w14:paraId="58BB89D7">
      <w:pPr>
        <w:pStyle w:val="3"/>
        <w:spacing w:line="271" w:lineRule="auto"/>
      </w:pPr>
    </w:p>
    <w:p w14:paraId="6BE0F695">
      <w:pPr>
        <w:pStyle w:val="3"/>
        <w:spacing w:line="271" w:lineRule="auto"/>
      </w:pPr>
    </w:p>
    <w:p w14:paraId="6520FB7F">
      <w:pPr>
        <w:pStyle w:val="3"/>
        <w:spacing w:line="271" w:lineRule="auto"/>
      </w:pPr>
    </w:p>
    <w:p w14:paraId="2873F4EC">
      <w:pPr>
        <w:pStyle w:val="3"/>
        <w:spacing w:line="271" w:lineRule="auto"/>
      </w:pPr>
    </w:p>
    <w:p w14:paraId="6B464D98">
      <w:pPr>
        <w:spacing w:before="140" w:line="227" w:lineRule="auto"/>
        <w:ind w:left="2212"/>
        <w:rPr>
          <w:rFonts w:ascii="楷体" w:hAnsi="楷体" w:eastAsia="楷体" w:cs="楷体"/>
          <w:sz w:val="43"/>
          <w:szCs w:val="43"/>
        </w:rPr>
      </w:pPr>
      <w:r>
        <w:rPr>
          <w:rFonts w:ascii="楷体" w:hAnsi="楷体" w:eastAsia="楷体" w:cs="楷体"/>
          <w:b/>
          <w:bCs/>
          <w:spacing w:val="5"/>
          <w:sz w:val="43"/>
          <w:szCs w:val="43"/>
        </w:rPr>
        <w:t>政府采购合同参考范本</w:t>
      </w:r>
    </w:p>
    <w:p w14:paraId="20CF68A8">
      <w:pPr>
        <w:pStyle w:val="3"/>
        <w:spacing w:line="251" w:lineRule="auto"/>
      </w:pPr>
    </w:p>
    <w:p w14:paraId="0ECB7E02">
      <w:pPr>
        <w:pStyle w:val="3"/>
        <w:spacing w:line="251" w:lineRule="auto"/>
      </w:pPr>
    </w:p>
    <w:p w14:paraId="3F62CA2A">
      <w:pPr>
        <w:spacing w:before="78" w:line="222" w:lineRule="auto"/>
        <w:ind w:left="3824"/>
        <w:rPr>
          <w:rFonts w:ascii="仿宋" w:hAnsi="仿宋" w:eastAsia="仿宋" w:cs="仿宋"/>
          <w:sz w:val="24"/>
          <w:szCs w:val="24"/>
        </w:rPr>
      </w:pPr>
      <w:r>
        <w:rPr>
          <w:rFonts w:ascii="仿宋" w:hAnsi="仿宋" w:eastAsia="仿宋" w:cs="仿宋"/>
          <w:b/>
          <w:bCs/>
          <w:spacing w:val="-7"/>
          <w:sz w:val="24"/>
          <w:szCs w:val="24"/>
        </w:rPr>
        <w:t>（服务类）</w:t>
      </w:r>
    </w:p>
    <w:p w14:paraId="32975C17">
      <w:pPr>
        <w:pStyle w:val="3"/>
        <w:spacing w:line="293" w:lineRule="auto"/>
      </w:pPr>
    </w:p>
    <w:p w14:paraId="0C874A33">
      <w:pPr>
        <w:pStyle w:val="3"/>
        <w:spacing w:line="293" w:lineRule="auto"/>
      </w:pPr>
    </w:p>
    <w:p w14:paraId="0EC93561">
      <w:pPr>
        <w:pStyle w:val="3"/>
        <w:spacing w:line="293" w:lineRule="auto"/>
      </w:pPr>
    </w:p>
    <w:p w14:paraId="7D6CB87B">
      <w:pPr>
        <w:pStyle w:val="3"/>
        <w:spacing w:line="294" w:lineRule="auto"/>
      </w:pPr>
    </w:p>
    <w:p w14:paraId="6694DC72">
      <w:pPr>
        <w:spacing w:before="91" w:line="223" w:lineRule="auto"/>
        <w:ind w:left="3383"/>
        <w:rPr>
          <w:rFonts w:ascii="仿宋" w:hAnsi="仿宋" w:eastAsia="仿宋" w:cs="仿宋"/>
          <w:sz w:val="28"/>
          <w:szCs w:val="28"/>
        </w:rPr>
      </w:pPr>
      <w:r>
        <w:rPr>
          <w:rFonts w:ascii="仿宋" w:hAnsi="仿宋" w:eastAsia="仿宋" w:cs="仿宋"/>
          <w:b/>
          <w:bCs/>
          <w:spacing w:val="-11"/>
          <w:sz w:val="28"/>
          <w:szCs w:val="28"/>
        </w:rPr>
        <w:t>第一部分</w:t>
      </w:r>
      <w:r>
        <w:rPr>
          <w:rFonts w:ascii="仿宋" w:hAnsi="仿宋" w:eastAsia="仿宋" w:cs="仿宋"/>
          <w:spacing w:val="29"/>
          <w:sz w:val="28"/>
          <w:szCs w:val="28"/>
        </w:rPr>
        <w:t xml:space="preserve"> </w:t>
      </w:r>
      <w:r>
        <w:rPr>
          <w:rFonts w:ascii="仿宋" w:hAnsi="仿宋" w:eastAsia="仿宋" w:cs="仿宋"/>
          <w:b/>
          <w:bCs/>
          <w:spacing w:val="-11"/>
          <w:sz w:val="28"/>
          <w:szCs w:val="28"/>
        </w:rPr>
        <w:t>合同书</w:t>
      </w:r>
    </w:p>
    <w:p w14:paraId="52A8E103">
      <w:pPr>
        <w:pStyle w:val="3"/>
        <w:spacing w:line="277" w:lineRule="auto"/>
      </w:pPr>
    </w:p>
    <w:p w14:paraId="54455A1B">
      <w:pPr>
        <w:pStyle w:val="3"/>
        <w:spacing w:line="277" w:lineRule="auto"/>
      </w:pPr>
    </w:p>
    <w:p w14:paraId="17BF0AA4">
      <w:pPr>
        <w:pStyle w:val="3"/>
        <w:spacing w:line="277" w:lineRule="auto"/>
      </w:pPr>
    </w:p>
    <w:p w14:paraId="1E213A37">
      <w:pPr>
        <w:pStyle w:val="3"/>
        <w:spacing w:line="278" w:lineRule="auto"/>
      </w:pPr>
    </w:p>
    <w:p w14:paraId="37E5BB00">
      <w:pPr>
        <w:spacing w:before="78" w:line="221" w:lineRule="auto"/>
        <w:ind w:left="971"/>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z w:val="24"/>
          <w:szCs w:val="24"/>
          <w:u w:val="single" w:color="auto"/>
        </w:rPr>
        <w:t xml:space="preserve">                                   </w:t>
      </w:r>
    </w:p>
    <w:p w14:paraId="7C7B7732">
      <w:pPr>
        <w:pStyle w:val="3"/>
        <w:spacing w:line="298" w:lineRule="auto"/>
      </w:pPr>
    </w:p>
    <w:p w14:paraId="0431D859">
      <w:pPr>
        <w:pStyle w:val="3"/>
        <w:spacing w:line="298" w:lineRule="auto"/>
      </w:pPr>
    </w:p>
    <w:p w14:paraId="4B2F5304">
      <w:pPr>
        <w:pStyle w:val="3"/>
        <w:spacing w:line="298" w:lineRule="auto"/>
      </w:pPr>
    </w:p>
    <w:p w14:paraId="196098F6">
      <w:pPr>
        <w:pStyle w:val="3"/>
        <w:spacing w:line="298" w:lineRule="auto"/>
      </w:pPr>
    </w:p>
    <w:p w14:paraId="3448F50C">
      <w:pPr>
        <w:spacing w:before="79" w:line="222" w:lineRule="auto"/>
        <w:ind w:left="1002"/>
        <w:rPr>
          <w:rFonts w:ascii="仿宋" w:hAnsi="仿宋" w:eastAsia="仿宋" w:cs="仿宋"/>
          <w:sz w:val="24"/>
          <w:szCs w:val="24"/>
        </w:rPr>
      </w:pPr>
      <w:r>
        <w:rPr>
          <w:rFonts w:ascii="仿宋" w:hAnsi="仿宋" w:eastAsia="仿宋" w:cs="仿宋"/>
          <w:spacing w:val="-9"/>
          <w:sz w:val="24"/>
          <w:szCs w:val="24"/>
        </w:rPr>
        <w:t>甲方：</w:t>
      </w:r>
      <w:r>
        <w:rPr>
          <w:rFonts w:ascii="仿宋" w:hAnsi="仿宋" w:eastAsia="仿宋" w:cs="仿宋"/>
          <w:spacing w:val="-9"/>
          <w:sz w:val="24"/>
          <w:szCs w:val="24"/>
          <w:u w:val="single" w:color="auto"/>
        </w:rPr>
        <w:t xml:space="preserve">                                     </w:t>
      </w:r>
      <w:r>
        <w:rPr>
          <w:rFonts w:ascii="仿宋" w:hAnsi="仿宋" w:eastAsia="仿宋" w:cs="仿宋"/>
          <w:spacing w:val="-10"/>
          <w:sz w:val="24"/>
          <w:szCs w:val="24"/>
          <w:u w:val="single" w:color="auto"/>
        </w:rPr>
        <w:t xml:space="preserve">     </w:t>
      </w:r>
    </w:p>
    <w:p w14:paraId="3033C470">
      <w:pPr>
        <w:pStyle w:val="3"/>
        <w:spacing w:line="247" w:lineRule="auto"/>
      </w:pPr>
    </w:p>
    <w:p w14:paraId="72627BAD">
      <w:pPr>
        <w:pStyle w:val="3"/>
        <w:spacing w:line="247" w:lineRule="auto"/>
      </w:pPr>
    </w:p>
    <w:p w14:paraId="456AC11F">
      <w:pPr>
        <w:spacing w:before="78" w:line="224" w:lineRule="auto"/>
        <w:ind w:left="988"/>
        <w:rPr>
          <w:rFonts w:ascii="仿宋" w:hAnsi="仿宋" w:eastAsia="仿宋" w:cs="仿宋"/>
          <w:sz w:val="24"/>
          <w:szCs w:val="24"/>
        </w:rPr>
      </w:pPr>
      <w:r>
        <w:rPr>
          <w:rFonts w:ascii="仿宋" w:hAnsi="仿宋" w:eastAsia="仿宋" w:cs="仿宋"/>
          <w:spacing w:val="-6"/>
          <w:sz w:val="24"/>
          <w:szCs w:val="24"/>
        </w:rPr>
        <w:t>乙方：</w:t>
      </w:r>
      <w:r>
        <w:rPr>
          <w:rFonts w:ascii="仿宋" w:hAnsi="仿宋" w:eastAsia="仿宋" w:cs="仿宋"/>
          <w:spacing w:val="-6"/>
          <w:sz w:val="24"/>
          <w:szCs w:val="24"/>
          <w:u w:val="single" w:color="auto"/>
        </w:rPr>
        <w:t xml:space="preserve">                              </w:t>
      </w:r>
      <w:r>
        <w:rPr>
          <w:rFonts w:ascii="仿宋" w:hAnsi="仿宋" w:eastAsia="仿宋" w:cs="仿宋"/>
          <w:spacing w:val="-7"/>
          <w:sz w:val="24"/>
          <w:szCs w:val="24"/>
          <w:u w:val="single" w:color="auto"/>
        </w:rPr>
        <w:t xml:space="preserve">           </w:t>
      </w:r>
    </w:p>
    <w:p w14:paraId="59DBC8B4">
      <w:pPr>
        <w:pStyle w:val="3"/>
        <w:spacing w:line="244" w:lineRule="auto"/>
      </w:pPr>
    </w:p>
    <w:p w14:paraId="31E81809">
      <w:pPr>
        <w:pStyle w:val="3"/>
        <w:spacing w:line="245" w:lineRule="auto"/>
      </w:pPr>
    </w:p>
    <w:p w14:paraId="339CD8DE">
      <w:pPr>
        <w:spacing w:before="79" w:line="224" w:lineRule="auto"/>
        <w:ind w:left="976"/>
        <w:rPr>
          <w:rFonts w:ascii="仿宋" w:hAnsi="仿宋" w:eastAsia="仿宋" w:cs="仿宋"/>
          <w:sz w:val="24"/>
          <w:szCs w:val="24"/>
        </w:rPr>
      </w:pPr>
      <w:r>
        <w:rPr>
          <w:rFonts w:ascii="仿宋" w:hAnsi="仿宋" w:eastAsia="仿宋" w:cs="仿宋"/>
          <w:spacing w:val="-3"/>
          <w:sz w:val="24"/>
          <w:szCs w:val="24"/>
        </w:rPr>
        <w:t>签订地：</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5660581F">
      <w:pPr>
        <w:pStyle w:val="3"/>
        <w:spacing w:line="245" w:lineRule="auto"/>
      </w:pPr>
    </w:p>
    <w:p w14:paraId="0B5E5D43">
      <w:pPr>
        <w:pStyle w:val="3"/>
        <w:spacing w:line="246" w:lineRule="auto"/>
      </w:pPr>
    </w:p>
    <w:p w14:paraId="5EE4A565">
      <w:pPr>
        <w:spacing w:before="78" w:line="222" w:lineRule="auto"/>
        <w:ind w:left="976"/>
        <w:rPr>
          <w:rFonts w:ascii="仿宋" w:hAnsi="仿宋" w:eastAsia="仿宋" w:cs="仿宋"/>
          <w:sz w:val="24"/>
          <w:szCs w:val="24"/>
        </w:rPr>
      </w:pPr>
      <w:r>
        <w:rPr>
          <w:rFonts w:ascii="仿宋" w:hAnsi="仿宋" w:eastAsia="仿宋" w:cs="仿宋"/>
          <w:spacing w:val="-9"/>
          <w:sz w:val="24"/>
          <w:szCs w:val="24"/>
        </w:rPr>
        <w:t>签订日期：</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9"/>
          <w:sz w:val="24"/>
          <w:szCs w:val="24"/>
        </w:rPr>
        <w:t>年</w:t>
      </w:r>
      <w:r>
        <w:rPr>
          <w:rFonts w:ascii="仿宋" w:hAnsi="仿宋" w:eastAsia="仿宋" w:cs="仿宋"/>
          <w:spacing w:val="19"/>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9"/>
          <w:sz w:val="24"/>
          <w:szCs w:val="24"/>
        </w:rPr>
        <w:t>月</w:t>
      </w:r>
      <w:r>
        <w:rPr>
          <w:rFonts w:ascii="仿宋" w:hAnsi="仿宋" w:eastAsia="仿宋" w:cs="仿宋"/>
          <w:spacing w:val="19"/>
          <w:sz w:val="24"/>
          <w:szCs w:val="24"/>
          <w:u w:val="single" w:color="auto"/>
        </w:rPr>
        <w:t xml:space="preserve">      </w:t>
      </w:r>
      <w:r>
        <w:rPr>
          <w:rFonts w:ascii="仿宋" w:hAnsi="仿宋" w:eastAsia="仿宋" w:cs="仿宋"/>
          <w:spacing w:val="-48"/>
          <w:sz w:val="24"/>
          <w:szCs w:val="24"/>
        </w:rPr>
        <w:t xml:space="preserve"> </w:t>
      </w:r>
      <w:r>
        <w:rPr>
          <w:rFonts w:ascii="仿宋" w:hAnsi="仿宋" w:eastAsia="仿宋" w:cs="仿宋"/>
          <w:spacing w:val="-9"/>
          <w:sz w:val="24"/>
          <w:szCs w:val="24"/>
        </w:rPr>
        <w:t>日</w:t>
      </w:r>
    </w:p>
    <w:p w14:paraId="10E49443">
      <w:pPr>
        <w:spacing w:line="222" w:lineRule="auto"/>
        <w:rPr>
          <w:rFonts w:ascii="仿宋" w:hAnsi="仿宋" w:eastAsia="仿宋" w:cs="仿宋"/>
          <w:sz w:val="24"/>
          <w:szCs w:val="24"/>
        </w:rPr>
        <w:sectPr>
          <w:pgSz w:w="11907" w:h="16840"/>
          <w:pgMar w:top="1440" w:right="1800" w:bottom="1440" w:left="1800" w:header="0" w:footer="1070" w:gutter="0"/>
          <w:pgNumType w:fmt="decimal"/>
          <w:cols w:space="720" w:num="1"/>
        </w:sectPr>
      </w:pPr>
    </w:p>
    <w:p w14:paraId="3C338266">
      <w:pPr>
        <w:tabs>
          <w:tab w:val="left" w:pos="136"/>
        </w:tabs>
        <w:spacing w:before="314" w:line="421" w:lineRule="auto"/>
        <w:ind w:left="237" w:leftChars="113" w:right="2" w:firstLine="460" w:firstLineChars="192"/>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8"/>
          <w:sz w:val="24"/>
          <w:szCs w:val="24"/>
        </w:rPr>
        <w:t xml:space="preserve"> </w:t>
      </w:r>
      <w:r>
        <w:rPr>
          <w:rFonts w:ascii="仿宋" w:hAnsi="仿宋" w:eastAsia="仿宋" w:cs="仿宋"/>
          <w:spacing w:val="-2"/>
          <w:sz w:val="24"/>
          <w:szCs w:val="24"/>
        </w:rPr>
        <w:t>年</w:t>
      </w:r>
      <w:r>
        <w:rPr>
          <w:rFonts w:ascii="仿宋" w:hAnsi="仿宋" w:eastAsia="仿宋" w:cs="仿宋"/>
          <w:spacing w:val="-2"/>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
          <w:sz w:val="24"/>
          <w:szCs w:val="24"/>
        </w:rPr>
        <w:t>月</w:t>
      </w:r>
      <w:r>
        <w:rPr>
          <w:rFonts w:ascii="仿宋" w:hAnsi="仿宋" w:eastAsia="仿宋" w:cs="仿宋"/>
          <w:spacing w:val="-2"/>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
          <w:sz w:val="24"/>
          <w:szCs w:val="24"/>
        </w:rPr>
        <w:t>日</w:t>
      </w:r>
      <w:r>
        <w:rPr>
          <w:rFonts w:ascii="仿宋" w:hAnsi="仿宋" w:eastAsia="仿宋" w:cs="仿宋"/>
          <w:spacing w:val="-33"/>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33"/>
          <w:sz w:val="24"/>
          <w:szCs w:val="24"/>
          <w:u w:val="single" w:color="auto"/>
        </w:rPr>
        <w:t>（</w:t>
      </w:r>
      <w:r>
        <w:rPr>
          <w:rFonts w:ascii="仿宋" w:hAnsi="仿宋" w:eastAsia="仿宋" w:cs="仿宋"/>
          <w:spacing w:val="-2"/>
          <w:sz w:val="24"/>
          <w:szCs w:val="24"/>
          <w:u w:val="single" w:color="auto"/>
        </w:rPr>
        <w:t xml:space="preserve">采购人名称）   </w:t>
      </w:r>
      <w:r>
        <w:rPr>
          <w:rFonts w:ascii="仿宋" w:hAnsi="仿宋" w:eastAsia="仿宋" w:cs="仿宋"/>
          <w:spacing w:val="-77"/>
          <w:sz w:val="24"/>
          <w:szCs w:val="24"/>
        </w:rPr>
        <w:t xml:space="preserve"> </w:t>
      </w:r>
      <w:r>
        <w:rPr>
          <w:rFonts w:ascii="仿宋" w:hAnsi="仿宋" w:eastAsia="仿宋" w:cs="仿宋"/>
          <w:spacing w:val="-2"/>
          <w:sz w:val="24"/>
          <w:szCs w:val="24"/>
        </w:rPr>
        <w:t>以</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（政府采购方式）</w:t>
      </w:r>
      <w:r>
        <w:rPr>
          <w:rFonts w:ascii="仿宋" w:hAnsi="仿宋" w:eastAsia="仿宋" w:cs="仿宋"/>
          <w:spacing w:val="4"/>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3"/>
          <w:sz w:val="24"/>
          <w:szCs w:val="24"/>
        </w:rPr>
        <w:t>对</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pacing w:val="-5"/>
          <w:sz w:val="24"/>
          <w:szCs w:val="24"/>
          <w:u w:val="single" w:color="auto"/>
        </w:rPr>
        <w:t xml:space="preserve">（同前页项目名称）  </w:t>
      </w:r>
      <w:r>
        <w:rPr>
          <w:rFonts w:ascii="仿宋" w:hAnsi="仿宋" w:eastAsia="仿宋" w:cs="仿宋"/>
          <w:spacing w:val="-103"/>
          <w:sz w:val="24"/>
          <w:szCs w:val="24"/>
        </w:rPr>
        <w:t xml:space="preserve"> </w:t>
      </w:r>
      <w:r>
        <w:rPr>
          <w:rFonts w:ascii="仿宋" w:hAnsi="仿宋" w:eastAsia="仿宋" w:cs="仿宋"/>
          <w:spacing w:val="-5"/>
          <w:sz w:val="24"/>
          <w:szCs w:val="24"/>
        </w:rPr>
        <w:t>项目进行了采购。经</w:t>
      </w:r>
      <w:r>
        <w:rPr>
          <w:rFonts w:ascii="仿宋" w:hAnsi="仿宋" w:eastAsia="仿宋" w:cs="仿宋"/>
          <w:spacing w:val="-5"/>
          <w:sz w:val="24"/>
          <w:szCs w:val="24"/>
          <w:u w:val="single" w:color="auto"/>
        </w:rPr>
        <w:t xml:space="preserve">  （相关评定主</w:t>
      </w:r>
      <w:r>
        <w:rPr>
          <w:rFonts w:ascii="仿宋" w:hAnsi="仿宋" w:eastAsia="仿宋" w:cs="仿宋"/>
          <w:spacing w:val="-6"/>
          <w:sz w:val="24"/>
          <w:szCs w:val="24"/>
          <w:u w:val="single" w:color="auto"/>
        </w:rPr>
        <w:t>体名称）</w:t>
      </w:r>
      <w:r>
        <w:rPr>
          <w:rFonts w:ascii="仿宋" w:hAnsi="仿宋" w:eastAsia="仿宋" w:cs="仿宋"/>
          <w:spacing w:val="1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6"/>
          <w:sz w:val="24"/>
          <w:szCs w:val="24"/>
        </w:rPr>
        <w:t>评定</w:t>
      </w:r>
      <w:r>
        <w:rPr>
          <w:rFonts w:ascii="仿宋" w:hAnsi="仿宋" w:eastAsia="仿宋" w:cs="仿宋"/>
          <w:spacing w:val="-64"/>
          <w:sz w:val="24"/>
          <w:szCs w:val="24"/>
        </w:rPr>
        <w:t>，</w:t>
      </w:r>
      <w:r>
        <w:rPr>
          <w:rFonts w:ascii="仿宋" w:hAnsi="仿宋" w:eastAsia="仿宋" w:cs="仿宋"/>
          <w:spacing w:val="26"/>
          <w:sz w:val="24"/>
          <w:szCs w:val="24"/>
          <w:u w:val="single" w:color="auto"/>
        </w:rPr>
        <w:t xml:space="preserve">  </w:t>
      </w:r>
      <w:r>
        <w:rPr>
          <w:rFonts w:ascii="仿宋" w:hAnsi="仿宋" w:eastAsia="仿宋" w:cs="仿宋"/>
          <w:spacing w:val="-64"/>
          <w:sz w:val="24"/>
          <w:szCs w:val="24"/>
          <w:u w:val="single" w:color="auto"/>
        </w:rPr>
        <w:t>（</w:t>
      </w:r>
      <w:r>
        <w:rPr>
          <w:rFonts w:ascii="仿宋" w:hAnsi="仿宋" w:eastAsia="仿宋" w:cs="仿宋"/>
          <w:spacing w:val="-6"/>
          <w:sz w:val="24"/>
          <w:szCs w:val="24"/>
          <w:u w:val="single" w:color="auto"/>
        </w:rPr>
        <w:t>中</w:t>
      </w:r>
      <w:r>
        <w:rPr>
          <w:rFonts w:ascii="仿宋" w:hAnsi="仿宋" w:eastAsia="仿宋" w:cs="仿宋"/>
          <w:spacing w:val="1"/>
          <w:sz w:val="24"/>
          <w:szCs w:val="24"/>
        </w:rPr>
        <w:t xml:space="preserve"> </w:t>
      </w:r>
      <w:r>
        <w:rPr>
          <w:rFonts w:ascii="仿宋" w:hAnsi="仿宋" w:eastAsia="仿宋" w:cs="仿宋"/>
          <w:sz w:val="24"/>
          <w:szCs w:val="24"/>
          <w:u w:val="single" w:color="auto"/>
        </w:rPr>
        <w:t xml:space="preserve">标供应商名称） </w:t>
      </w:r>
      <w:r>
        <w:rPr>
          <w:rFonts w:ascii="仿宋" w:hAnsi="仿宋" w:eastAsia="仿宋" w:cs="仿宋"/>
          <w:spacing w:val="-79"/>
          <w:sz w:val="24"/>
          <w:szCs w:val="24"/>
        </w:rPr>
        <w:t xml:space="preserve"> </w:t>
      </w:r>
      <w:r>
        <w:rPr>
          <w:rFonts w:ascii="仿宋" w:hAnsi="仿宋" w:eastAsia="仿宋" w:cs="仿宋"/>
          <w:sz w:val="24"/>
          <w:szCs w:val="24"/>
        </w:rPr>
        <w:t xml:space="preserve">为该项目中标供应商。现于中标通知书发出之日起三十日内，按照 </w:t>
      </w:r>
      <w:r>
        <w:rPr>
          <w:rFonts w:ascii="仿宋" w:hAnsi="仿宋" w:eastAsia="仿宋" w:cs="仿宋"/>
          <w:spacing w:val="-2"/>
          <w:sz w:val="24"/>
          <w:szCs w:val="24"/>
        </w:rPr>
        <w:t>采购文件确定的事项签订本合同。</w:t>
      </w:r>
    </w:p>
    <w:p w14:paraId="3DC760AB">
      <w:pPr>
        <w:spacing w:before="37" w:line="423" w:lineRule="auto"/>
        <w:ind w:left="15" w:firstLine="481"/>
        <w:jc w:val="both"/>
        <w:rPr>
          <w:rFonts w:ascii="仿宋" w:hAnsi="仿宋" w:eastAsia="仿宋" w:cs="仿宋"/>
          <w:sz w:val="24"/>
          <w:szCs w:val="24"/>
        </w:rPr>
      </w:pPr>
      <w:r>
        <w:rPr>
          <w:rFonts w:ascii="仿宋" w:hAnsi="仿宋" w:eastAsia="仿宋" w:cs="仿宋"/>
          <w:spacing w:val="-2"/>
          <w:sz w:val="24"/>
          <w:szCs w:val="24"/>
        </w:rPr>
        <w:t>根据《中华人民共和国合同法》、《中华人民共和国政府采购</w:t>
      </w:r>
      <w:r>
        <w:rPr>
          <w:rFonts w:ascii="仿宋" w:hAnsi="仿宋" w:eastAsia="仿宋" w:cs="仿宋"/>
          <w:spacing w:val="-3"/>
          <w:sz w:val="24"/>
          <w:szCs w:val="24"/>
        </w:rPr>
        <w:t>法》等相关法律法</w:t>
      </w:r>
      <w:r>
        <w:rPr>
          <w:rFonts w:ascii="仿宋" w:hAnsi="仿宋" w:eastAsia="仿宋" w:cs="仿宋"/>
          <w:sz w:val="24"/>
          <w:szCs w:val="24"/>
        </w:rPr>
        <w:t xml:space="preserve"> </w:t>
      </w:r>
      <w:r>
        <w:rPr>
          <w:rFonts w:ascii="仿宋" w:hAnsi="仿宋" w:eastAsia="仿宋" w:cs="仿宋"/>
          <w:spacing w:val="-2"/>
          <w:sz w:val="24"/>
          <w:szCs w:val="24"/>
        </w:rPr>
        <w:t>规之规定，按照平等、</w:t>
      </w:r>
      <w:r>
        <w:rPr>
          <w:rFonts w:ascii="仿宋" w:hAnsi="仿宋" w:eastAsia="仿宋" w:cs="仿宋"/>
          <w:spacing w:val="-50"/>
          <w:sz w:val="24"/>
          <w:szCs w:val="24"/>
        </w:rPr>
        <w:t xml:space="preserve"> </w:t>
      </w:r>
      <w:r>
        <w:rPr>
          <w:rFonts w:ascii="仿宋" w:hAnsi="仿宋" w:eastAsia="仿宋" w:cs="仿宋"/>
          <w:spacing w:val="-2"/>
          <w:sz w:val="24"/>
          <w:szCs w:val="24"/>
        </w:rPr>
        <w:t>自愿、公平和诚实信用的原则，经</w:t>
      </w:r>
      <w:r>
        <w:rPr>
          <w:rFonts w:ascii="仿宋" w:hAnsi="仿宋" w:eastAsia="仿宋" w:cs="仿宋"/>
          <w:spacing w:val="-2"/>
          <w:sz w:val="24"/>
          <w:szCs w:val="24"/>
          <w:u w:val="single" w:color="auto"/>
        </w:rPr>
        <w:t xml:space="preserve">   （采购人名称）   </w:t>
      </w:r>
      <w:r>
        <w:rPr>
          <w:rFonts w:ascii="仿宋" w:hAnsi="仿宋" w:eastAsia="仿宋" w:cs="仿宋"/>
          <w:spacing w:val="-69"/>
          <w:sz w:val="24"/>
          <w:szCs w:val="24"/>
        </w:rPr>
        <w:t xml:space="preserve"> </w:t>
      </w:r>
      <w:r>
        <w:rPr>
          <w:rFonts w:ascii="仿宋" w:hAnsi="仿宋" w:eastAsia="仿宋" w:cs="仿宋"/>
          <w:spacing w:val="-2"/>
          <w:sz w:val="24"/>
          <w:szCs w:val="24"/>
        </w:rPr>
        <w:t>(以</w:t>
      </w:r>
      <w:r>
        <w:rPr>
          <w:rFonts w:ascii="仿宋" w:hAnsi="仿宋" w:eastAsia="仿宋" w:cs="仿宋"/>
          <w:sz w:val="24"/>
          <w:szCs w:val="24"/>
        </w:rPr>
        <w:t xml:space="preserve"> </w:t>
      </w:r>
      <w:r>
        <w:rPr>
          <w:rFonts w:ascii="仿宋" w:hAnsi="仿宋" w:eastAsia="仿宋" w:cs="仿宋"/>
          <w:spacing w:val="-1"/>
          <w:sz w:val="24"/>
          <w:szCs w:val="24"/>
        </w:rPr>
        <w:t>下简称：</w:t>
      </w:r>
      <w:r>
        <w:rPr>
          <w:rFonts w:ascii="仿宋" w:hAnsi="仿宋" w:eastAsia="仿宋" w:cs="仿宋"/>
          <w:spacing w:val="-70"/>
          <w:sz w:val="24"/>
          <w:szCs w:val="24"/>
        </w:rPr>
        <w:t xml:space="preserve"> </w:t>
      </w:r>
      <w:r>
        <w:rPr>
          <w:rFonts w:ascii="仿宋" w:hAnsi="仿宋" w:eastAsia="仿宋" w:cs="仿宋"/>
          <w:spacing w:val="-1"/>
          <w:sz w:val="24"/>
          <w:szCs w:val="24"/>
        </w:rPr>
        <w:t>甲方)和</w:t>
      </w:r>
      <w:r>
        <w:rPr>
          <w:rFonts w:ascii="仿宋" w:hAnsi="仿宋" w:eastAsia="仿宋" w:cs="仿宋"/>
          <w:spacing w:val="-1"/>
          <w:sz w:val="24"/>
          <w:szCs w:val="24"/>
          <w:u w:val="single" w:color="auto"/>
        </w:rPr>
        <w:t xml:space="preserve">   （中标供应商名称）   </w:t>
      </w:r>
      <w:r>
        <w:rPr>
          <w:rFonts w:ascii="仿宋" w:hAnsi="仿宋" w:eastAsia="仿宋" w:cs="仿宋"/>
          <w:spacing w:val="-69"/>
          <w:sz w:val="24"/>
          <w:szCs w:val="24"/>
        </w:rPr>
        <w:t xml:space="preserve"> </w:t>
      </w:r>
      <w:r>
        <w:rPr>
          <w:rFonts w:ascii="仿宋" w:hAnsi="仿宋" w:eastAsia="仿宋" w:cs="仿宋"/>
          <w:spacing w:val="-1"/>
          <w:sz w:val="24"/>
          <w:szCs w:val="24"/>
        </w:rPr>
        <w:t>(</w:t>
      </w:r>
      <w:r>
        <w:rPr>
          <w:rFonts w:ascii="仿宋" w:hAnsi="仿宋" w:eastAsia="仿宋" w:cs="仿宋"/>
          <w:spacing w:val="-2"/>
          <w:sz w:val="24"/>
          <w:szCs w:val="24"/>
        </w:rPr>
        <w:t>以下简称：乙方)协商一致，约定以下</w:t>
      </w:r>
      <w:r>
        <w:rPr>
          <w:rFonts w:ascii="仿宋" w:hAnsi="仿宋" w:eastAsia="仿宋" w:cs="仿宋"/>
          <w:sz w:val="24"/>
          <w:szCs w:val="24"/>
        </w:rPr>
        <w:t xml:space="preserve"> </w:t>
      </w:r>
      <w:r>
        <w:rPr>
          <w:rFonts w:ascii="仿宋" w:hAnsi="仿宋" w:eastAsia="仿宋" w:cs="仿宋"/>
          <w:spacing w:val="-1"/>
          <w:sz w:val="24"/>
          <w:szCs w:val="24"/>
        </w:rPr>
        <w:t>合同条款，以兹共同遵守、全面履行。</w:t>
      </w:r>
    </w:p>
    <w:p w14:paraId="0D85A34A">
      <w:pPr>
        <w:spacing w:before="39" w:line="222" w:lineRule="auto"/>
        <w:ind w:left="506"/>
        <w:rPr>
          <w:rFonts w:ascii="仿宋" w:hAnsi="仿宋" w:eastAsia="仿宋" w:cs="仿宋"/>
          <w:sz w:val="24"/>
          <w:szCs w:val="24"/>
        </w:rPr>
      </w:pPr>
      <w:r>
        <w:rPr>
          <w:rFonts w:ascii="仿宋" w:hAnsi="仿宋" w:eastAsia="仿宋" w:cs="仿宋"/>
          <w:b/>
          <w:bCs/>
          <w:spacing w:val="-8"/>
          <w:sz w:val="24"/>
          <w:szCs w:val="24"/>
        </w:rPr>
        <w:t>1.1</w:t>
      </w:r>
      <w:r>
        <w:rPr>
          <w:rFonts w:ascii="仿宋" w:hAnsi="仿宋" w:eastAsia="仿宋" w:cs="仿宋"/>
          <w:spacing w:val="29"/>
          <w:sz w:val="24"/>
          <w:szCs w:val="24"/>
        </w:rPr>
        <w:t xml:space="preserve"> </w:t>
      </w:r>
      <w:r>
        <w:rPr>
          <w:rFonts w:ascii="仿宋" w:hAnsi="仿宋" w:eastAsia="仿宋" w:cs="仿宋"/>
          <w:b/>
          <w:bCs/>
          <w:spacing w:val="-8"/>
          <w:sz w:val="24"/>
          <w:szCs w:val="24"/>
        </w:rPr>
        <w:t>合同组成部分</w:t>
      </w:r>
    </w:p>
    <w:p w14:paraId="7E848A54">
      <w:pPr>
        <w:spacing w:before="273" w:line="420" w:lineRule="auto"/>
        <w:ind w:left="20" w:firstLine="480"/>
        <w:jc w:val="both"/>
        <w:rPr>
          <w:rFonts w:ascii="仿宋" w:hAnsi="仿宋" w:eastAsia="仿宋" w:cs="仿宋"/>
          <w:sz w:val="24"/>
          <w:szCs w:val="24"/>
        </w:rPr>
      </w:pPr>
      <w:r>
        <w:rPr>
          <w:rFonts w:ascii="仿宋" w:hAnsi="仿宋" w:eastAsia="仿宋" w:cs="仿宋"/>
          <w:spacing w:val="-2"/>
          <w:sz w:val="24"/>
          <w:szCs w:val="24"/>
        </w:rPr>
        <w:t>下列文件为本合同的组成部分，并构成一个整体，需</w:t>
      </w:r>
      <w:r>
        <w:rPr>
          <w:rFonts w:ascii="仿宋" w:hAnsi="仿宋" w:eastAsia="仿宋" w:cs="仿宋"/>
          <w:spacing w:val="-3"/>
          <w:sz w:val="24"/>
          <w:szCs w:val="24"/>
        </w:rPr>
        <w:t>综合解释、相互补充。如果</w:t>
      </w:r>
      <w:r>
        <w:rPr>
          <w:rFonts w:ascii="仿宋" w:hAnsi="仿宋" w:eastAsia="仿宋" w:cs="仿宋"/>
          <w:sz w:val="24"/>
          <w:szCs w:val="24"/>
        </w:rPr>
        <w:t xml:space="preserve"> </w:t>
      </w:r>
      <w:r>
        <w:rPr>
          <w:rFonts w:ascii="仿宋" w:hAnsi="仿宋" w:eastAsia="仿宋" w:cs="仿宋"/>
          <w:spacing w:val="-2"/>
          <w:sz w:val="24"/>
          <w:szCs w:val="24"/>
        </w:rPr>
        <w:t>下列文件内容出现不一致的情形，那么在保证按照采购文件确定的事</w:t>
      </w:r>
      <w:r>
        <w:rPr>
          <w:rFonts w:ascii="仿宋" w:hAnsi="仿宋" w:eastAsia="仿宋" w:cs="仿宋"/>
          <w:spacing w:val="-3"/>
          <w:sz w:val="24"/>
          <w:szCs w:val="24"/>
        </w:rPr>
        <w:t>项的前提下，组</w:t>
      </w:r>
      <w:r>
        <w:rPr>
          <w:rFonts w:ascii="仿宋" w:hAnsi="仿宋" w:eastAsia="仿宋" w:cs="仿宋"/>
          <w:sz w:val="24"/>
          <w:szCs w:val="24"/>
        </w:rPr>
        <w:t xml:space="preserve"> </w:t>
      </w:r>
      <w:r>
        <w:rPr>
          <w:rFonts w:ascii="仿宋" w:hAnsi="仿宋" w:eastAsia="仿宋" w:cs="仿宋"/>
          <w:spacing w:val="-2"/>
          <w:sz w:val="24"/>
          <w:szCs w:val="24"/>
        </w:rPr>
        <w:t>成本合同的多个文件的优先适用顺序如下：</w:t>
      </w:r>
    </w:p>
    <w:p w14:paraId="778005CE">
      <w:pPr>
        <w:spacing w:before="40" w:line="222" w:lineRule="auto"/>
        <w:ind w:left="506"/>
        <w:rPr>
          <w:rFonts w:ascii="仿宋" w:hAnsi="仿宋" w:eastAsia="仿宋" w:cs="仿宋"/>
          <w:sz w:val="24"/>
          <w:szCs w:val="24"/>
        </w:rPr>
      </w:pPr>
      <w:r>
        <w:rPr>
          <w:rFonts w:ascii="仿宋" w:hAnsi="仿宋" w:eastAsia="仿宋" w:cs="仿宋"/>
          <w:spacing w:val="-2"/>
          <w:sz w:val="24"/>
          <w:szCs w:val="24"/>
        </w:rPr>
        <w:t>1.1.1 本合同及其补充合同、变更协议；</w:t>
      </w:r>
    </w:p>
    <w:p w14:paraId="2623C37D">
      <w:pPr>
        <w:spacing w:before="272" w:line="222" w:lineRule="auto"/>
        <w:ind w:left="506"/>
        <w:rPr>
          <w:rFonts w:ascii="仿宋" w:hAnsi="仿宋" w:eastAsia="仿宋" w:cs="仿宋"/>
          <w:sz w:val="24"/>
          <w:szCs w:val="24"/>
        </w:rPr>
      </w:pPr>
      <w:r>
        <w:rPr>
          <w:rFonts w:ascii="仿宋" w:hAnsi="仿宋" w:eastAsia="仿宋" w:cs="仿宋"/>
          <w:spacing w:val="-7"/>
          <w:sz w:val="24"/>
          <w:szCs w:val="24"/>
        </w:rPr>
        <w:t>1.1.2</w:t>
      </w:r>
      <w:r>
        <w:rPr>
          <w:rFonts w:ascii="仿宋" w:hAnsi="仿宋" w:eastAsia="仿宋" w:cs="仿宋"/>
          <w:spacing w:val="49"/>
          <w:sz w:val="24"/>
          <w:szCs w:val="24"/>
        </w:rPr>
        <w:t xml:space="preserve"> </w:t>
      </w:r>
      <w:r>
        <w:rPr>
          <w:rFonts w:ascii="仿宋" w:hAnsi="仿宋" w:eastAsia="仿宋" w:cs="仿宋"/>
          <w:spacing w:val="-7"/>
          <w:sz w:val="24"/>
          <w:szCs w:val="24"/>
        </w:rPr>
        <w:t>中标通知书；</w:t>
      </w:r>
    </w:p>
    <w:p w14:paraId="1FC804B0">
      <w:pPr>
        <w:spacing w:before="270" w:line="222" w:lineRule="auto"/>
        <w:ind w:left="506"/>
        <w:rPr>
          <w:rFonts w:ascii="仿宋" w:hAnsi="仿宋" w:eastAsia="仿宋" w:cs="仿宋"/>
          <w:sz w:val="24"/>
          <w:szCs w:val="24"/>
        </w:rPr>
      </w:pPr>
      <w:r>
        <w:rPr>
          <w:rFonts w:ascii="仿宋" w:hAnsi="仿宋" w:eastAsia="仿宋" w:cs="仿宋"/>
          <w:spacing w:val="-2"/>
          <w:sz w:val="24"/>
          <w:szCs w:val="24"/>
        </w:rPr>
        <w:t>1.1.3 投标文件（含澄清或者说明文件</w:t>
      </w:r>
      <w:r>
        <w:rPr>
          <w:rFonts w:ascii="仿宋" w:hAnsi="仿宋" w:eastAsia="仿宋" w:cs="仿宋"/>
          <w:spacing w:val="6"/>
          <w:sz w:val="24"/>
          <w:szCs w:val="24"/>
        </w:rPr>
        <w:t>）；</w:t>
      </w:r>
    </w:p>
    <w:p w14:paraId="3C161476">
      <w:pPr>
        <w:spacing w:before="274" w:line="222" w:lineRule="auto"/>
        <w:ind w:left="506"/>
        <w:rPr>
          <w:rFonts w:ascii="仿宋" w:hAnsi="仿宋" w:eastAsia="仿宋" w:cs="仿宋"/>
          <w:sz w:val="24"/>
          <w:szCs w:val="24"/>
        </w:rPr>
      </w:pPr>
      <w:r>
        <w:rPr>
          <w:rFonts w:ascii="仿宋" w:hAnsi="仿宋" w:eastAsia="仿宋" w:cs="仿宋"/>
          <w:spacing w:val="-2"/>
          <w:sz w:val="24"/>
          <w:szCs w:val="24"/>
        </w:rPr>
        <w:t>1.1.4 招标文件（含澄清或者修改文件</w:t>
      </w:r>
      <w:r>
        <w:rPr>
          <w:rFonts w:ascii="仿宋" w:hAnsi="仿宋" w:eastAsia="仿宋" w:cs="仿宋"/>
          <w:spacing w:val="6"/>
          <w:sz w:val="24"/>
          <w:szCs w:val="24"/>
        </w:rPr>
        <w:t>）；</w:t>
      </w:r>
    </w:p>
    <w:p w14:paraId="2E52BF1C">
      <w:pPr>
        <w:spacing w:before="269" w:line="222" w:lineRule="auto"/>
        <w:ind w:left="506"/>
        <w:rPr>
          <w:rFonts w:ascii="仿宋" w:hAnsi="仿宋" w:eastAsia="仿宋" w:cs="仿宋"/>
          <w:sz w:val="24"/>
          <w:szCs w:val="24"/>
        </w:rPr>
      </w:pPr>
      <w:r>
        <w:rPr>
          <w:rFonts w:ascii="仿宋" w:hAnsi="仿宋" w:eastAsia="仿宋" w:cs="仿宋"/>
          <w:spacing w:val="-2"/>
          <w:sz w:val="24"/>
          <w:szCs w:val="24"/>
        </w:rPr>
        <w:t>1.1.5 其他相关采购文件。</w:t>
      </w:r>
    </w:p>
    <w:p w14:paraId="47D97973">
      <w:pPr>
        <w:spacing w:before="272" w:line="222" w:lineRule="auto"/>
        <w:ind w:left="506"/>
        <w:rPr>
          <w:rFonts w:ascii="仿宋" w:hAnsi="仿宋" w:eastAsia="仿宋" w:cs="仿宋"/>
          <w:sz w:val="24"/>
          <w:szCs w:val="24"/>
        </w:rPr>
      </w:pPr>
      <w:r>
        <w:rPr>
          <w:rFonts w:ascii="仿宋" w:hAnsi="仿宋" w:eastAsia="仿宋" w:cs="仿宋"/>
          <w:b/>
          <w:bCs/>
          <w:spacing w:val="-11"/>
          <w:sz w:val="24"/>
          <w:szCs w:val="24"/>
        </w:rPr>
        <w:t>1.2</w:t>
      </w:r>
      <w:r>
        <w:rPr>
          <w:rFonts w:ascii="仿宋" w:hAnsi="仿宋" w:eastAsia="仿宋" w:cs="仿宋"/>
          <w:spacing w:val="17"/>
          <w:sz w:val="24"/>
          <w:szCs w:val="24"/>
        </w:rPr>
        <w:t xml:space="preserve"> </w:t>
      </w:r>
      <w:r>
        <w:rPr>
          <w:rFonts w:ascii="仿宋" w:hAnsi="仿宋" w:eastAsia="仿宋" w:cs="仿宋"/>
          <w:b/>
          <w:bCs/>
          <w:spacing w:val="-11"/>
          <w:sz w:val="24"/>
          <w:szCs w:val="24"/>
        </w:rPr>
        <w:t>标的</w:t>
      </w:r>
    </w:p>
    <w:p w14:paraId="3835D00F">
      <w:pPr>
        <w:spacing w:before="272" w:line="221" w:lineRule="auto"/>
        <w:ind w:left="506"/>
        <w:rPr>
          <w:rFonts w:ascii="仿宋" w:hAnsi="仿宋" w:eastAsia="仿宋" w:cs="仿宋"/>
          <w:sz w:val="24"/>
          <w:szCs w:val="24"/>
        </w:rPr>
      </w:pPr>
      <w:r>
        <w:rPr>
          <w:rFonts w:ascii="仿宋" w:hAnsi="仿宋" w:eastAsia="仿宋" w:cs="仿宋"/>
          <w:spacing w:val="-5"/>
          <w:sz w:val="24"/>
          <w:szCs w:val="24"/>
        </w:rPr>
        <w:t>1.2.1</w:t>
      </w:r>
      <w:r>
        <w:rPr>
          <w:rFonts w:ascii="仿宋" w:hAnsi="仿宋" w:eastAsia="仿宋" w:cs="仿宋"/>
          <w:spacing w:val="17"/>
          <w:sz w:val="24"/>
          <w:szCs w:val="24"/>
        </w:rPr>
        <w:t xml:space="preserve"> </w:t>
      </w:r>
      <w:r>
        <w:rPr>
          <w:rFonts w:ascii="仿宋" w:hAnsi="仿宋" w:eastAsia="仿宋" w:cs="仿宋"/>
          <w:spacing w:val="-5"/>
          <w:sz w:val="24"/>
          <w:szCs w:val="24"/>
        </w:rPr>
        <w:t>标的名称</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79EF6848">
      <w:pPr>
        <w:spacing w:before="273" w:line="222" w:lineRule="auto"/>
        <w:ind w:left="506"/>
        <w:rPr>
          <w:rFonts w:ascii="仿宋" w:hAnsi="仿宋" w:eastAsia="仿宋" w:cs="仿宋"/>
          <w:sz w:val="24"/>
          <w:szCs w:val="24"/>
        </w:rPr>
      </w:pPr>
      <w:r>
        <w:rPr>
          <w:rFonts w:ascii="仿宋" w:hAnsi="仿宋" w:eastAsia="仿宋" w:cs="仿宋"/>
          <w:spacing w:val="-5"/>
          <w:sz w:val="24"/>
          <w:szCs w:val="24"/>
        </w:rPr>
        <w:t>1.2.2</w:t>
      </w:r>
      <w:r>
        <w:rPr>
          <w:rFonts w:ascii="仿宋" w:hAnsi="仿宋" w:eastAsia="仿宋" w:cs="仿宋"/>
          <w:spacing w:val="17"/>
          <w:sz w:val="24"/>
          <w:szCs w:val="24"/>
        </w:rPr>
        <w:t xml:space="preserve"> </w:t>
      </w:r>
      <w:r>
        <w:rPr>
          <w:rFonts w:ascii="仿宋" w:hAnsi="仿宋" w:eastAsia="仿宋" w:cs="仿宋"/>
          <w:spacing w:val="-5"/>
          <w:sz w:val="24"/>
          <w:szCs w:val="24"/>
        </w:rPr>
        <w:t>标的数量</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3C3F656A">
      <w:pPr>
        <w:spacing w:before="270" w:line="222" w:lineRule="auto"/>
        <w:ind w:left="506"/>
        <w:rPr>
          <w:rFonts w:ascii="仿宋" w:hAnsi="仿宋" w:eastAsia="仿宋" w:cs="仿宋"/>
          <w:sz w:val="24"/>
          <w:szCs w:val="24"/>
        </w:rPr>
      </w:pPr>
      <w:r>
        <w:rPr>
          <w:rFonts w:ascii="仿宋" w:hAnsi="仿宋" w:eastAsia="仿宋" w:cs="仿宋"/>
          <w:spacing w:val="-2"/>
          <w:sz w:val="24"/>
          <w:szCs w:val="24"/>
        </w:rPr>
        <w:t>1.2.3 标的质量：</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63F37094">
      <w:pPr>
        <w:spacing w:before="273" w:line="222" w:lineRule="auto"/>
        <w:ind w:left="506"/>
        <w:rPr>
          <w:rFonts w:ascii="仿宋" w:hAnsi="仿宋" w:eastAsia="仿宋" w:cs="仿宋"/>
          <w:sz w:val="24"/>
          <w:szCs w:val="24"/>
        </w:rPr>
      </w:pPr>
      <w:r>
        <w:rPr>
          <w:rFonts w:ascii="仿宋" w:hAnsi="仿宋" w:eastAsia="仿宋" w:cs="仿宋"/>
          <w:b/>
          <w:bCs/>
          <w:spacing w:val="-11"/>
          <w:sz w:val="24"/>
          <w:szCs w:val="24"/>
        </w:rPr>
        <w:t>1.3</w:t>
      </w:r>
      <w:r>
        <w:rPr>
          <w:rFonts w:ascii="仿宋" w:hAnsi="仿宋" w:eastAsia="仿宋" w:cs="仿宋"/>
          <w:spacing w:val="17"/>
          <w:sz w:val="24"/>
          <w:szCs w:val="24"/>
        </w:rPr>
        <w:t xml:space="preserve"> </w:t>
      </w:r>
      <w:r>
        <w:rPr>
          <w:rFonts w:ascii="仿宋" w:hAnsi="仿宋" w:eastAsia="仿宋" w:cs="仿宋"/>
          <w:b/>
          <w:bCs/>
          <w:spacing w:val="-11"/>
          <w:sz w:val="24"/>
          <w:szCs w:val="24"/>
        </w:rPr>
        <w:t>价款</w:t>
      </w:r>
    </w:p>
    <w:p w14:paraId="26ED7E5E">
      <w:pPr>
        <w:spacing w:line="240" w:lineRule="auto"/>
        <w:rPr>
          <w:rFonts w:ascii="仿宋" w:hAnsi="仿宋" w:eastAsia="仿宋" w:cs="仿宋"/>
          <w:sz w:val="24"/>
          <w:szCs w:val="24"/>
        </w:rPr>
        <w:sectPr>
          <w:headerReference r:id="rId8" w:type="default"/>
          <w:footerReference r:id="rId9" w:type="default"/>
          <w:pgSz w:w="11910" w:h="16840"/>
          <w:pgMar w:top="1440" w:right="1800" w:bottom="1440" w:left="1800" w:header="1665" w:footer="1157" w:gutter="0"/>
          <w:pgNumType w:fmt="decimal"/>
          <w:cols w:space="720" w:num="1"/>
        </w:sectPr>
      </w:pPr>
      <w:r>
        <w:rPr>
          <w:rFonts w:ascii="仿宋" w:hAnsi="仿宋" w:eastAsia="仿宋" w:cs="仿宋"/>
          <w:spacing w:val="-9"/>
          <w:sz w:val="24"/>
          <w:szCs w:val="24"/>
        </w:rPr>
        <w:t>本合同总价为：</w:t>
      </w:r>
      <w:r>
        <w:rPr>
          <w:rFonts w:ascii="仿宋" w:hAnsi="仿宋" w:eastAsia="仿宋" w:cs="仿宋"/>
          <w:spacing w:val="-75"/>
          <w:sz w:val="24"/>
          <w:szCs w:val="24"/>
        </w:rPr>
        <w:t xml:space="preserve"> </w:t>
      </w:r>
      <w:r>
        <w:rPr>
          <w:rFonts w:ascii="仿宋" w:hAnsi="仿宋" w:eastAsia="仿宋" w:cs="仿宋"/>
          <w:spacing w:val="-9"/>
          <w:sz w:val="24"/>
          <w:szCs w:val="24"/>
        </w:rPr>
        <w:t>￥</w:t>
      </w:r>
      <w:r>
        <w:rPr>
          <w:rFonts w:ascii="仿宋" w:hAnsi="仿宋" w:eastAsia="仿宋" w:cs="仿宋"/>
          <w:spacing w:val="-9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元（大写：</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9"/>
          <w:sz w:val="24"/>
          <w:szCs w:val="24"/>
        </w:rPr>
        <w:t>元人民币）。</w:t>
      </w:r>
      <w:r>
        <w:rPr>
          <w:rFonts w:ascii="仿宋" w:hAnsi="仿宋" w:eastAsia="仿宋" w:cs="仿宋"/>
          <w:sz w:val="24"/>
          <w:szCs w:val="24"/>
        </w:rPr>
        <w:t xml:space="preserve"> </w:t>
      </w:r>
      <w:r>
        <w:rPr>
          <w:rFonts w:ascii="仿宋" w:hAnsi="仿宋" w:eastAsia="仿宋" w:cs="仿宋"/>
          <w:spacing w:val="-4"/>
          <w:sz w:val="24"/>
          <w:szCs w:val="24"/>
        </w:rPr>
        <w:t>分项价格：</w:t>
      </w:r>
    </w:p>
    <w:tbl>
      <w:tblPr>
        <w:tblStyle w:val="28"/>
        <w:tblW w:w="7159" w:type="dxa"/>
        <w:tblInd w:w="8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08E8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28A9D2FD">
            <w:pPr>
              <w:spacing w:before="248" w:line="222" w:lineRule="auto"/>
              <w:ind w:left="374"/>
              <w:rPr>
                <w:rFonts w:ascii="仿宋" w:hAnsi="仿宋" w:eastAsia="仿宋" w:cs="仿宋"/>
                <w:sz w:val="24"/>
                <w:szCs w:val="24"/>
              </w:rPr>
            </w:pPr>
            <w:r>
              <w:rPr>
                <w:rFonts w:ascii="仿宋" w:hAnsi="仿宋" w:eastAsia="仿宋" w:cs="仿宋"/>
                <w:spacing w:val="-8"/>
                <w:sz w:val="24"/>
                <w:szCs w:val="24"/>
              </w:rPr>
              <w:t>序号</w:t>
            </w:r>
          </w:p>
        </w:tc>
        <w:tc>
          <w:tcPr>
            <w:tcW w:w="3399" w:type="dxa"/>
            <w:vAlign w:val="top"/>
          </w:tcPr>
          <w:p w14:paraId="50F5C758">
            <w:pPr>
              <w:spacing w:before="248" w:line="221" w:lineRule="auto"/>
              <w:ind w:left="1335"/>
              <w:rPr>
                <w:rFonts w:ascii="仿宋" w:hAnsi="仿宋" w:eastAsia="仿宋" w:cs="仿宋"/>
                <w:sz w:val="24"/>
                <w:szCs w:val="24"/>
              </w:rPr>
            </w:pPr>
            <w:r>
              <w:rPr>
                <w:rFonts w:ascii="仿宋" w:hAnsi="仿宋" w:eastAsia="仿宋" w:cs="仿宋"/>
                <w:spacing w:val="-5"/>
                <w:sz w:val="24"/>
                <w:szCs w:val="24"/>
              </w:rPr>
              <w:t>分项名称</w:t>
            </w:r>
          </w:p>
        </w:tc>
        <w:tc>
          <w:tcPr>
            <w:tcW w:w="2555" w:type="dxa"/>
            <w:vAlign w:val="top"/>
          </w:tcPr>
          <w:p w14:paraId="47C5EC14">
            <w:pPr>
              <w:spacing w:before="248" w:line="222" w:lineRule="auto"/>
              <w:ind w:left="813"/>
              <w:rPr>
                <w:rFonts w:ascii="仿宋" w:hAnsi="仿宋" w:eastAsia="仿宋" w:cs="仿宋"/>
                <w:sz w:val="24"/>
                <w:szCs w:val="24"/>
              </w:rPr>
            </w:pPr>
            <w:r>
              <w:rPr>
                <w:rFonts w:ascii="仿宋" w:hAnsi="仿宋" w:eastAsia="仿宋" w:cs="仿宋"/>
                <w:spacing w:val="-5"/>
                <w:sz w:val="24"/>
                <w:szCs w:val="24"/>
              </w:rPr>
              <w:t>分项价格</w:t>
            </w:r>
          </w:p>
        </w:tc>
      </w:tr>
      <w:tr w14:paraId="24FE5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6B47BF4">
            <w:pPr>
              <w:rPr>
                <w:rFonts w:ascii="Arial"/>
                <w:sz w:val="21"/>
              </w:rPr>
            </w:pPr>
          </w:p>
        </w:tc>
        <w:tc>
          <w:tcPr>
            <w:tcW w:w="3399" w:type="dxa"/>
            <w:vAlign w:val="top"/>
          </w:tcPr>
          <w:p w14:paraId="0BDBAEFB">
            <w:pPr>
              <w:rPr>
                <w:rFonts w:ascii="Arial"/>
                <w:sz w:val="21"/>
              </w:rPr>
            </w:pPr>
          </w:p>
        </w:tc>
        <w:tc>
          <w:tcPr>
            <w:tcW w:w="2555" w:type="dxa"/>
            <w:vAlign w:val="top"/>
          </w:tcPr>
          <w:p w14:paraId="657C6F28">
            <w:pPr>
              <w:rPr>
                <w:rFonts w:ascii="Arial"/>
                <w:sz w:val="21"/>
              </w:rPr>
            </w:pPr>
          </w:p>
        </w:tc>
      </w:tr>
      <w:tr w14:paraId="218F0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E11B340">
            <w:pPr>
              <w:rPr>
                <w:rFonts w:ascii="Arial"/>
                <w:sz w:val="21"/>
              </w:rPr>
            </w:pPr>
          </w:p>
        </w:tc>
        <w:tc>
          <w:tcPr>
            <w:tcW w:w="3399" w:type="dxa"/>
            <w:vAlign w:val="top"/>
          </w:tcPr>
          <w:p w14:paraId="07B335D7">
            <w:pPr>
              <w:rPr>
                <w:rFonts w:ascii="Arial"/>
                <w:sz w:val="21"/>
              </w:rPr>
            </w:pPr>
          </w:p>
        </w:tc>
        <w:tc>
          <w:tcPr>
            <w:tcW w:w="2555" w:type="dxa"/>
            <w:vAlign w:val="top"/>
          </w:tcPr>
          <w:p w14:paraId="28E69D60">
            <w:pPr>
              <w:rPr>
                <w:rFonts w:ascii="Arial"/>
                <w:sz w:val="21"/>
              </w:rPr>
            </w:pPr>
          </w:p>
        </w:tc>
      </w:tr>
      <w:tr w14:paraId="5D81A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67FD9B7">
            <w:pPr>
              <w:rPr>
                <w:rFonts w:ascii="Arial"/>
                <w:sz w:val="21"/>
              </w:rPr>
            </w:pPr>
          </w:p>
        </w:tc>
        <w:tc>
          <w:tcPr>
            <w:tcW w:w="3399" w:type="dxa"/>
            <w:vAlign w:val="top"/>
          </w:tcPr>
          <w:p w14:paraId="067F07F0">
            <w:pPr>
              <w:rPr>
                <w:rFonts w:ascii="Arial"/>
                <w:sz w:val="21"/>
              </w:rPr>
            </w:pPr>
          </w:p>
        </w:tc>
        <w:tc>
          <w:tcPr>
            <w:tcW w:w="2555" w:type="dxa"/>
            <w:vAlign w:val="top"/>
          </w:tcPr>
          <w:p w14:paraId="3520A8EA">
            <w:pPr>
              <w:rPr>
                <w:rFonts w:ascii="Arial"/>
                <w:sz w:val="21"/>
              </w:rPr>
            </w:pPr>
          </w:p>
        </w:tc>
      </w:tr>
      <w:tr w14:paraId="4061A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42A08E2">
            <w:pPr>
              <w:rPr>
                <w:rFonts w:ascii="Arial"/>
                <w:sz w:val="21"/>
              </w:rPr>
            </w:pPr>
          </w:p>
        </w:tc>
        <w:tc>
          <w:tcPr>
            <w:tcW w:w="3399" w:type="dxa"/>
            <w:vAlign w:val="top"/>
          </w:tcPr>
          <w:p w14:paraId="741873FB">
            <w:pPr>
              <w:rPr>
                <w:rFonts w:ascii="Arial"/>
                <w:sz w:val="21"/>
              </w:rPr>
            </w:pPr>
          </w:p>
        </w:tc>
        <w:tc>
          <w:tcPr>
            <w:tcW w:w="2555" w:type="dxa"/>
            <w:vAlign w:val="top"/>
          </w:tcPr>
          <w:p w14:paraId="2075FB23">
            <w:pPr>
              <w:rPr>
                <w:rFonts w:ascii="Arial"/>
                <w:sz w:val="21"/>
              </w:rPr>
            </w:pPr>
          </w:p>
        </w:tc>
      </w:tr>
      <w:tr w14:paraId="04A29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6DFB5BBA">
            <w:pPr>
              <w:spacing w:before="247" w:line="222" w:lineRule="auto"/>
              <w:ind w:left="2187"/>
              <w:rPr>
                <w:rFonts w:ascii="仿宋" w:hAnsi="仿宋" w:eastAsia="仿宋" w:cs="仿宋"/>
                <w:sz w:val="24"/>
                <w:szCs w:val="24"/>
              </w:rPr>
            </w:pPr>
            <w:r>
              <w:rPr>
                <w:rFonts w:ascii="仿宋" w:hAnsi="仿宋" w:eastAsia="仿宋" w:cs="仿宋"/>
                <w:spacing w:val="-14"/>
                <w:sz w:val="24"/>
                <w:szCs w:val="24"/>
              </w:rPr>
              <w:t>总价</w:t>
            </w:r>
          </w:p>
        </w:tc>
        <w:tc>
          <w:tcPr>
            <w:tcW w:w="2555" w:type="dxa"/>
            <w:vAlign w:val="top"/>
          </w:tcPr>
          <w:p w14:paraId="2FD66CC0">
            <w:pPr>
              <w:rPr>
                <w:rFonts w:ascii="Arial"/>
                <w:sz w:val="21"/>
              </w:rPr>
            </w:pPr>
          </w:p>
        </w:tc>
      </w:tr>
    </w:tbl>
    <w:p w14:paraId="0D79CBFB">
      <w:pPr>
        <w:spacing w:before="244" w:line="222" w:lineRule="auto"/>
        <w:ind w:left="491"/>
        <w:rPr>
          <w:rFonts w:ascii="仿宋" w:hAnsi="仿宋" w:eastAsia="仿宋" w:cs="仿宋"/>
          <w:sz w:val="24"/>
          <w:szCs w:val="24"/>
        </w:rPr>
      </w:pPr>
      <w:r>
        <w:rPr>
          <w:rFonts w:ascii="仿宋" w:hAnsi="仿宋" w:eastAsia="仿宋" w:cs="仿宋"/>
          <w:b/>
          <w:bCs/>
          <w:spacing w:val="-4"/>
          <w:sz w:val="24"/>
          <w:szCs w:val="24"/>
        </w:rPr>
        <w:t>1.4</w:t>
      </w:r>
      <w:r>
        <w:rPr>
          <w:rFonts w:ascii="仿宋" w:hAnsi="仿宋" w:eastAsia="仿宋" w:cs="仿宋"/>
          <w:spacing w:val="-4"/>
          <w:sz w:val="24"/>
          <w:szCs w:val="24"/>
        </w:rPr>
        <w:t xml:space="preserve"> </w:t>
      </w:r>
      <w:r>
        <w:rPr>
          <w:rFonts w:ascii="仿宋" w:hAnsi="仿宋" w:eastAsia="仿宋" w:cs="仿宋"/>
          <w:b/>
          <w:bCs/>
          <w:spacing w:val="-4"/>
          <w:sz w:val="24"/>
          <w:szCs w:val="24"/>
        </w:rPr>
        <w:t>付款方式和发票开具方式</w:t>
      </w:r>
    </w:p>
    <w:p w14:paraId="6A63B5DA">
      <w:pPr>
        <w:spacing w:before="270" w:line="222" w:lineRule="auto"/>
        <w:ind w:left="491"/>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43"/>
          <w:sz w:val="24"/>
          <w:szCs w:val="24"/>
        </w:rPr>
        <w:t xml:space="preserve"> </w:t>
      </w:r>
      <w:r>
        <w:rPr>
          <w:rFonts w:ascii="仿宋" w:hAnsi="仿宋" w:eastAsia="仿宋" w:cs="仿宋"/>
          <w:spacing w:val="-5"/>
          <w:sz w:val="24"/>
          <w:szCs w:val="24"/>
        </w:rPr>
        <w:t>付款方式</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2BA7262">
      <w:pPr>
        <w:spacing w:before="270" w:line="222" w:lineRule="auto"/>
        <w:ind w:left="491"/>
        <w:rPr>
          <w:rFonts w:ascii="仿宋" w:hAnsi="仿宋" w:eastAsia="仿宋" w:cs="仿宋"/>
          <w:sz w:val="24"/>
          <w:szCs w:val="24"/>
        </w:rPr>
      </w:pPr>
      <w:r>
        <w:rPr>
          <w:rFonts w:ascii="仿宋" w:hAnsi="仿宋" w:eastAsia="仿宋" w:cs="仿宋"/>
          <w:spacing w:val="-4"/>
          <w:sz w:val="24"/>
          <w:szCs w:val="24"/>
        </w:rPr>
        <w:t>1.4.2</w:t>
      </w:r>
      <w:r>
        <w:rPr>
          <w:rFonts w:ascii="仿宋" w:hAnsi="仿宋" w:eastAsia="仿宋" w:cs="仿宋"/>
          <w:spacing w:val="24"/>
          <w:sz w:val="24"/>
          <w:szCs w:val="24"/>
        </w:rPr>
        <w:t xml:space="preserve"> </w:t>
      </w:r>
      <w:r>
        <w:rPr>
          <w:rFonts w:ascii="仿宋" w:hAnsi="仿宋" w:eastAsia="仿宋" w:cs="仿宋"/>
          <w:spacing w:val="-4"/>
          <w:sz w:val="24"/>
          <w:szCs w:val="24"/>
        </w:rPr>
        <w:t>发票开具方式：</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1165A0EC">
      <w:pPr>
        <w:spacing w:before="272" w:line="221" w:lineRule="auto"/>
        <w:ind w:left="491"/>
        <w:rPr>
          <w:rFonts w:ascii="仿宋" w:hAnsi="仿宋" w:eastAsia="仿宋" w:cs="仿宋"/>
          <w:sz w:val="24"/>
          <w:szCs w:val="24"/>
        </w:rPr>
      </w:pPr>
      <w:r>
        <w:rPr>
          <w:rFonts w:ascii="仿宋" w:hAnsi="仿宋" w:eastAsia="仿宋" w:cs="仿宋"/>
          <w:b/>
          <w:bCs/>
          <w:spacing w:val="-4"/>
          <w:sz w:val="24"/>
          <w:szCs w:val="24"/>
        </w:rPr>
        <w:t>1.5</w:t>
      </w:r>
      <w:r>
        <w:rPr>
          <w:rFonts w:ascii="仿宋" w:hAnsi="仿宋" w:eastAsia="仿宋" w:cs="仿宋"/>
          <w:spacing w:val="-4"/>
          <w:sz w:val="24"/>
          <w:szCs w:val="24"/>
        </w:rPr>
        <w:t xml:space="preserve"> </w:t>
      </w:r>
      <w:r>
        <w:rPr>
          <w:rFonts w:ascii="仿宋" w:hAnsi="仿宋" w:eastAsia="仿宋" w:cs="仿宋"/>
          <w:b/>
          <w:bCs/>
          <w:spacing w:val="-4"/>
          <w:sz w:val="24"/>
          <w:szCs w:val="24"/>
        </w:rPr>
        <w:t>履行期限、地点和方式</w:t>
      </w:r>
    </w:p>
    <w:p w14:paraId="3D58D693">
      <w:pPr>
        <w:spacing w:before="271" w:line="221" w:lineRule="auto"/>
        <w:ind w:left="491"/>
        <w:rPr>
          <w:rFonts w:ascii="仿宋" w:hAnsi="仿宋" w:eastAsia="仿宋" w:cs="仿宋"/>
          <w:sz w:val="24"/>
          <w:szCs w:val="24"/>
        </w:rPr>
      </w:pPr>
      <w:r>
        <w:rPr>
          <w:rFonts w:ascii="仿宋" w:hAnsi="仿宋" w:eastAsia="仿宋" w:cs="仿宋"/>
          <w:spacing w:val="-6"/>
          <w:sz w:val="24"/>
          <w:szCs w:val="24"/>
        </w:rPr>
        <w:t>1.5.1</w:t>
      </w:r>
      <w:r>
        <w:rPr>
          <w:rFonts w:ascii="仿宋" w:hAnsi="仿宋" w:eastAsia="仿宋" w:cs="仿宋"/>
          <w:spacing w:val="22"/>
          <w:sz w:val="24"/>
          <w:szCs w:val="24"/>
        </w:rPr>
        <w:t xml:space="preserve"> </w:t>
      </w:r>
      <w:r>
        <w:rPr>
          <w:rFonts w:ascii="仿宋" w:hAnsi="仿宋" w:eastAsia="仿宋" w:cs="仿宋"/>
          <w:spacing w:val="-6"/>
          <w:sz w:val="24"/>
          <w:szCs w:val="24"/>
        </w:rPr>
        <w:t>履行期限</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627B05E3">
      <w:pPr>
        <w:spacing w:before="272" w:line="221" w:lineRule="auto"/>
        <w:ind w:left="491"/>
        <w:rPr>
          <w:rFonts w:ascii="仿宋" w:hAnsi="仿宋" w:eastAsia="仿宋" w:cs="仿宋"/>
          <w:sz w:val="24"/>
          <w:szCs w:val="24"/>
        </w:rPr>
      </w:pPr>
      <w:r>
        <w:rPr>
          <w:rFonts w:ascii="仿宋" w:hAnsi="仿宋" w:eastAsia="仿宋" w:cs="仿宋"/>
          <w:spacing w:val="-6"/>
          <w:sz w:val="24"/>
          <w:szCs w:val="24"/>
        </w:rPr>
        <w:t>1.5.2</w:t>
      </w:r>
      <w:r>
        <w:rPr>
          <w:rFonts w:ascii="仿宋" w:hAnsi="仿宋" w:eastAsia="仿宋" w:cs="仿宋"/>
          <w:spacing w:val="22"/>
          <w:sz w:val="24"/>
          <w:szCs w:val="24"/>
        </w:rPr>
        <w:t xml:space="preserve"> </w:t>
      </w:r>
      <w:r>
        <w:rPr>
          <w:rFonts w:ascii="仿宋" w:hAnsi="仿宋" w:eastAsia="仿宋" w:cs="仿宋"/>
          <w:spacing w:val="-6"/>
          <w:sz w:val="24"/>
          <w:szCs w:val="24"/>
        </w:rPr>
        <w:t>履行地点</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1F88C496">
      <w:pPr>
        <w:spacing w:before="274" w:line="221" w:lineRule="auto"/>
        <w:ind w:left="491"/>
        <w:rPr>
          <w:rFonts w:ascii="仿宋" w:hAnsi="仿宋" w:eastAsia="仿宋" w:cs="仿宋"/>
          <w:sz w:val="24"/>
          <w:szCs w:val="24"/>
        </w:rPr>
      </w:pPr>
      <w:r>
        <w:rPr>
          <w:rFonts w:ascii="仿宋" w:hAnsi="仿宋" w:eastAsia="仿宋" w:cs="仿宋"/>
          <w:spacing w:val="-3"/>
          <w:sz w:val="24"/>
          <w:szCs w:val="24"/>
        </w:rPr>
        <w:t>1.5.3</w:t>
      </w:r>
      <w:r>
        <w:rPr>
          <w:rFonts w:ascii="仿宋" w:hAnsi="仿宋" w:eastAsia="仿宋" w:cs="仿宋"/>
          <w:spacing w:val="32"/>
          <w:sz w:val="24"/>
          <w:szCs w:val="24"/>
        </w:rPr>
        <w:t xml:space="preserve"> </w:t>
      </w:r>
      <w:r>
        <w:rPr>
          <w:rFonts w:ascii="仿宋" w:hAnsi="仿宋" w:eastAsia="仿宋" w:cs="仿宋"/>
          <w:spacing w:val="-3"/>
          <w:sz w:val="24"/>
          <w:szCs w:val="24"/>
        </w:rPr>
        <w:t>履行方式：</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66D93899">
      <w:pPr>
        <w:spacing w:before="272" w:line="223" w:lineRule="auto"/>
        <w:ind w:left="491"/>
        <w:rPr>
          <w:rFonts w:ascii="仿宋" w:hAnsi="仿宋" w:eastAsia="仿宋" w:cs="仿宋"/>
          <w:sz w:val="24"/>
          <w:szCs w:val="24"/>
        </w:rPr>
      </w:pPr>
      <w:r>
        <w:rPr>
          <w:rFonts w:ascii="仿宋" w:hAnsi="仿宋" w:eastAsia="仿宋" w:cs="仿宋"/>
          <w:b/>
          <w:bCs/>
          <w:spacing w:val="-9"/>
          <w:sz w:val="24"/>
          <w:szCs w:val="24"/>
        </w:rPr>
        <w:t>1.6</w:t>
      </w:r>
      <w:r>
        <w:rPr>
          <w:rFonts w:ascii="仿宋" w:hAnsi="仿宋" w:eastAsia="仿宋" w:cs="仿宋"/>
          <w:spacing w:val="22"/>
          <w:sz w:val="24"/>
          <w:szCs w:val="24"/>
        </w:rPr>
        <w:t xml:space="preserve"> </w:t>
      </w:r>
      <w:r>
        <w:rPr>
          <w:rFonts w:ascii="仿宋" w:hAnsi="仿宋" w:eastAsia="仿宋" w:cs="仿宋"/>
          <w:b/>
          <w:bCs/>
          <w:spacing w:val="-9"/>
          <w:sz w:val="24"/>
          <w:szCs w:val="24"/>
        </w:rPr>
        <w:t>违约责任</w:t>
      </w:r>
    </w:p>
    <w:p w14:paraId="589BFFAA">
      <w:pPr>
        <w:spacing w:before="271" w:line="425" w:lineRule="auto"/>
        <w:ind w:firstLine="491"/>
        <w:jc w:val="both"/>
        <w:rPr>
          <w:rFonts w:ascii="仿宋" w:hAnsi="仿宋" w:eastAsia="仿宋" w:cs="仿宋"/>
          <w:sz w:val="24"/>
          <w:szCs w:val="24"/>
        </w:rPr>
      </w:pPr>
      <w:r>
        <w:rPr>
          <w:rFonts w:ascii="仿宋" w:hAnsi="仿宋" w:eastAsia="仿宋" w:cs="仿宋"/>
          <w:spacing w:val="-2"/>
          <w:sz w:val="24"/>
          <w:szCs w:val="24"/>
        </w:rPr>
        <w:t>1.6.1 除不可抗力外，如果乙方没有按照本合同约定的期限、地点</w:t>
      </w:r>
      <w:r>
        <w:rPr>
          <w:rFonts w:ascii="仿宋" w:hAnsi="仿宋" w:eastAsia="仿宋" w:cs="仿宋"/>
          <w:spacing w:val="-3"/>
          <w:sz w:val="24"/>
          <w:szCs w:val="24"/>
        </w:rPr>
        <w:t>和方式履行，</w:t>
      </w:r>
      <w:r>
        <w:rPr>
          <w:rFonts w:ascii="仿宋" w:hAnsi="仿宋" w:eastAsia="仿宋" w:cs="仿宋"/>
          <w:sz w:val="24"/>
          <w:szCs w:val="24"/>
        </w:rPr>
        <w:t xml:space="preserve"> </w:t>
      </w:r>
      <w:r>
        <w:rPr>
          <w:rFonts w:ascii="仿宋" w:hAnsi="仿宋" w:eastAsia="仿宋" w:cs="仿宋"/>
          <w:spacing w:val="-2"/>
          <w:sz w:val="24"/>
          <w:szCs w:val="24"/>
        </w:rPr>
        <w:t>那么甲方可要求乙方支付违约金，违约金按每迟延履行一日的应提供而未提供</w:t>
      </w:r>
      <w:r>
        <w:rPr>
          <w:rFonts w:ascii="仿宋" w:hAnsi="仿宋" w:eastAsia="仿宋" w:cs="仿宋"/>
          <w:spacing w:val="-3"/>
          <w:sz w:val="24"/>
          <w:szCs w:val="24"/>
        </w:rPr>
        <w:t>服务价</w:t>
      </w:r>
      <w:r>
        <w:rPr>
          <w:rFonts w:ascii="仿宋" w:hAnsi="仿宋" w:eastAsia="仿宋" w:cs="仿宋"/>
          <w:sz w:val="24"/>
          <w:szCs w:val="24"/>
        </w:rPr>
        <w:t xml:space="preserve"> </w:t>
      </w:r>
      <w:r>
        <w:rPr>
          <w:rFonts w:ascii="仿宋" w:hAnsi="仿宋" w:eastAsia="仿宋" w:cs="仿宋"/>
          <w:spacing w:val="1"/>
          <w:sz w:val="24"/>
          <w:szCs w:val="24"/>
        </w:rPr>
        <w:t>格的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%计算，最高限额为本合同总价的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%；迟延履行的违约金计算数额达到 </w:t>
      </w:r>
      <w:r>
        <w:rPr>
          <w:rFonts w:ascii="仿宋" w:hAnsi="仿宋" w:eastAsia="仿宋" w:cs="仿宋"/>
          <w:spacing w:val="-2"/>
          <w:sz w:val="24"/>
          <w:szCs w:val="24"/>
        </w:rPr>
        <w:t>前述最高限额之日起，甲方有权在要求乙方支付违约金的同时，书面通知乙方</w:t>
      </w:r>
      <w:r>
        <w:rPr>
          <w:rFonts w:ascii="仿宋" w:hAnsi="仿宋" w:eastAsia="仿宋" w:cs="仿宋"/>
          <w:spacing w:val="-3"/>
          <w:sz w:val="24"/>
          <w:szCs w:val="24"/>
        </w:rPr>
        <w:t>解除本</w:t>
      </w:r>
      <w:r>
        <w:rPr>
          <w:rFonts w:ascii="仿宋" w:hAnsi="仿宋" w:eastAsia="仿宋" w:cs="仿宋"/>
          <w:sz w:val="24"/>
          <w:szCs w:val="24"/>
        </w:rPr>
        <w:t xml:space="preserve"> </w:t>
      </w:r>
      <w:r>
        <w:rPr>
          <w:rFonts w:ascii="仿宋" w:hAnsi="仿宋" w:eastAsia="仿宋" w:cs="仿宋"/>
          <w:spacing w:val="-6"/>
          <w:sz w:val="24"/>
          <w:szCs w:val="24"/>
        </w:rPr>
        <w:t>合同；</w:t>
      </w:r>
    </w:p>
    <w:p w14:paraId="7D9C68B4">
      <w:pPr>
        <w:spacing w:before="35" w:line="423" w:lineRule="auto"/>
        <w:ind w:left="1" w:right="5" w:firstLine="489"/>
        <w:jc w:val="both"/>
        <w:rPr>
          <w:rFonts w:ascii="仿宋" w:hAnsi="仿宋" w:eastAsia="仿宋" w:cs="仿宋"/>
          <w:sz w:val="24"/>
          <w:szCs w:val="24"/>
        </w:rPr>
      </w:pPr>
      <w:r>
        <w:rPr>
          <w:rFonts w:ascii="仿宋" w:hAnsi="仿宋" w:eastAsia="仿宋" w:cs="仿宋"/>
          <w:spacing w:val="-2"/>
          <w:sz w:val="24"/>
          <w:szCs w:val="24"/>
        </w:rPr>
        <w:t>1.6.2 除不可抗力外，如果甲方没有按照本合同约定</w:t>
      </w:r>
      <w:r>
        <w:rPr>
          <w:rFonts w:ascii="仿宋" w:hAnsi="仿宋" w:eastAsia="仿宋" w:cs="仿宋"/>
          <w:spacing w:val="-3"/>
          <w:sz w:val="24"/>
          <w:szCs w:val="24"/>
        </w:rPr>
        <w:t>的付款方式付款，那么乙方</w:t>
      </w:r>
      <w:r>
        <w:rPr>
          <w:rFonts w:ascii="仿宋" w:hAnsi="仿宋" w:eastAsia="仿宋" w:cs="仿宋"/>
          <w:sz w:val="24"/>
          <w:szCs w:val="24"/>
        </w:rPr>
        <w:t xml:space="preserve"> </w:t>
      </w:r>
      <w:r>
        <w:rPr>
          <w:rFonts w:ascii="仿宋" w:hAnsi="仿宋" w:eastAsia="仿宋" w:cs="仿宋"/>
          <w:spacing w:val="-1"/>
          <w:sz w:val="24"/>
          <w:szCs w:val="24"/>
        </w:rPr>
        <w:t>可要求甲方支付违约金，违约金按每迟延付款一</w:t>
      </w:r>
      <w:r>
        <w:rPr>
          <w:rFonts w:ascii="仿宋" w:hAnsi="仿宋" w:eastAsia="仿宋" w:cs="仿宋"/>
          <w:spacing w:val="-39"/>
          <w:sz w:val="24"/>
          <w:szCs w:val="24"/>
        </w:rPr>
        <w:t xml:space="preserve"> </w:t>
      </w:r>
      <w:r>
        <w:rPr>
          <w:rFonts w:ascii="仿宋" w:hAnsi="仿宋" w:eastAsia="仿宋" w:cs="仿宋"/>
          <w:spacing w:val="-1"/>
          <w:sz w:val="24"/>
          <w:szCs w:val="24"/>
        </w:rPr>
        <w:t>日的应付而未付款的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%计算，最</w:t>
      </w:r>
      <w:r>
        <w:rPr>
          <w:rFonts w:ascii="仿宋" w:hAnsi="仿宋" w:eastAsia="仿宋" w:cs="仿宋"/>
          <w:sz w:val="24"/>
          <w:szCs w:val="24"/>
        </w:rPr>
        <w:t xml:space="preserve"> </w:t>
      </w:r>
      <w:r>
        <w:rPr>
          <w:rFonts w:ascii="仿宋" w:hAnsi="仿宋" w:eastAsia="仿宋" w:cs="仿宋"/>
          <w:spacing w:val="4"/>
          <w:sz w:val="24"/>
          <w:szCs w:val="24"/>
        </w:rPr>
        <w:t>高限额为本合同总价的</w:t>
      </w:r>
      <w:r>
        <w:rPr>
          <w:rFonts w:ascii="仿宋" w:hAnsi="仿宋" w:eastAsia="仿宋" w:cs="仿宋"/>
          <w:spacing w:val="-11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114"/>
          <w:sz w:val="24"/>
          <w:szCs w:val="24"/>
        </w:rPr>
        <w:t xml:space="preserve"> </w:t>
      </w:r>
      <w:r>
        <w:rPr>
          <w:rFonts w:ascii="仿宋" w:hAnsi="仿宋" w:eastAsia="仿宋" w:cs="仿宋"/>
          <w:spacing w:val="4"/>
          <w:sz w:val="24"/>
          <w:szCs w:val="24"/>
        </w:rPr>
        <w:t>%；迟延付款的违约金计算数额达到前述最</w:t>
      </w:r>
      <w:r>
        <w:rPr>
          <w:rFonts w:ascii="仿宋" w:hAnsi="仿宋" w:eastAsia="仿宋" w:cs="仿宋"/>
          <w:spacing w:val="3"/>
          <w:sz w:val="24"/>
          <w:szCs w:val="24"/>
        </w:rPr>
        <w:t>高限额之日</w:t>
      </w:r>
      <w:r>
        <w:rPr>
          <w:rFonts w:ascii="仿宋" w:hAnsi="仿宋" w:eastAsia="仿宋" w:cs="仿宋"/>
          <w:sz w:val="24"/>
          <w:szCs w:val="24"/>
        </w:rPr>
        <w:t xml:space="preserve"> </w:t>
      </w:r>
      <w:r>
        <w:rPr>
          <w:rFonts w:ascii="仿宋" w:hAnsi="仿宋" w:eastAsia="仿宋" w:cs="仿宋"/>
          <w:spacing w:val="-1"/>
          <w:sz w:val="24"/>
          <w:szCs w:val="24"/>
        </w:rPr>
        <w:t>起，乙方有权在要求甲方支付违约金的同时，书面通知甲方解除本合同；</w:t>
      </w:r>
    </w:p>
    <w:p w14:paraId="774F2B6B">
      <w:pPr>
        <w:spacing w:before="78" w:line="425" w:lineRule="auto"/>
        <w:ind w:left="1"/>
        <w:jc w:val="both"/>
        <w:rPr>
          <w:rFonts w:ascii="仿宋" w:hAnsi="仿宋" w:eastAsia="仿宋" w:cs="仿宋"/>
          <w:sz w:val="24"/>
          <w:szCs w:val="24"/>
        </w:rPr>
      </w:pPr>
      <w:r>
        <w:rPr>
          <w:rFonts w:ascii="仿宋" w:hAnsi="仿宋" w:eastAsia="仿宋" w:cs="仿宋"/>
          <w:spacing w:val="-2"/>
          <w:sz w:val="24"/>
          <w:szCs w:val="24"/>
        </w:rPr>
        <w:t>1.6.3 除不可抗力外，任何一方未能履行本合同约定</w:t>
      </w:r>
      <w:r>
        <w:rPr>
          <w:rFonts w:ascii="仿宋" w:hAnsi="仿宋" w:eastAsia="仿宋" w:cs="仿宋"/>
          <w:spacing w:val="-3"/>
          <w:sz w:val="24"/>
          <w:szCs w:val="24"/>
        </w:rPr>
        <w:t>的其他主要义务，经催告后</w:t>
      </w:r>
      <w:r>
        <w:rPr>
          <w:rFonts w:ascii="仿宋" w:hAnsi="仿宋" w:eastAsia="仿宋" w:cs="仿宋"/>
          <w:spacing w:val="-2"/>
          <w:sz w:val="24"/>
          <w:szCs w:val="24"/>
        </w:rPr>
        <w:t>在合理期限内仍未履行的，或者任何一方有其他违约行为致使不能实现合同目的的，</w:t>
      </w:r>
      <w:r>
        <w:rPr>
          <w:rFonts w:ascii="仿宋" w:hAnsi="仿宋" w:eastAsia="仿宋" w:cs="仿宋"/>
          <w:sz w:val="24"/>
          <w:szCs w:val="24"/>
        </w:rPr>
        <w:t xml:space="preserve"> </w:t>
      </w:r>
      <w:r>
        <w:rPr>
          <w:rFonts w:ascii="仿宋" w:hAnsi="仿宋" w:eastAsia="仿宋" w:cs="仿宋"/>
          <w:spacing w:val="-2"/>
          <w:sz w:val="24"/>
          <w:szCs w:val="24"/>
        </w:rPr>
        <w:t>或者任何一方有腐败行为（即：提供或给予或接受或索取任何财物或其他好</w:t>
      </w:r>
      <w:r>
        <w:rPr>
          <w:rFonts w:ascii="仿宋" w:hAnsi="仿宋" w:eastAsia="仿宋" w:cs="仿宋"/>
          <w:spacing w:val="-3"/>
          <w:sz w:val="24"/>
          <w:szCs w:val="24"/>
        </w:rPr>
        <w:t>处或者采</w:t>
      </w:r>
      <w:r>
        <w:rPr>
          <w:rFonts w:ascii="仿宋" w:hAnsi="仿宋" w:eastAsia="仿宋" w:cs="仿宋"/>
          <w:sz w:val="24"/>
          <w:szCs w:val="24"/>
        </w:rPr>
        <w:t xml:space="preserve"> </w:t>
      </w:r>
      <w:r>
        <w:rPr>
          <w:rFonts w:ascii="仿宋" w:hAnsi="仿宋" w:eastAsia="仿宋" w:cs="仿宋"/>
          <w:spacing w:val="-2"/>
          <w:sz w:val="24"/>
          <w:szCs w:val="24"/>
        </w:rPr>
        <w:t>取其他不正当手段来影响对方当事人在合同签订、履行过程中的行为）或者</w:t>
      </w:r>
      <w:r>
        <w:rPr>
          <w:rFonts w:ascii="仿宋" w:hAnsi="仿宋" w:eastAsia="仿宋" w:cs="仿宋"/>
          <w:spacing w:val="-3"/>
          <w:sz w:val="24"/>
          <w:szCs w:val="24"/>
        </w:rPr>
        <w:t>欺诈行为</w:t>
      </w:r>
      <w:r>
        <w:rPr>
          <w:rFonts w:ascii="仿宋" w:hAnsi="仿宋" w:eastAsia="仿宋" w:cs="仿宋"/>
          <w:sz w:val="24"/>
          <w:szCs w:val="24"/>
        </w:rPr>
        <w:t xml:space="preserve"> </w:t>
      </w:r>
      <w:r>
        <w:rPr>
          <w:rFonts w:ascii="仿宋" w:hAnsi="仿宋" w:eastAsia="仿宋" w:cs="仿宋"/>
          <w:spacing w:val="-2"/>
          <w:sz w:val="24"/>
          <w:szCs w:val="24"/>
        </w:rPr>
        <w:t>（即：以谎报事实或隐瞒真相的方法来影响对方当事人在合同签订、履行过</w:t>
      </w:r>
      <w:r>
        <w:rPr>
          <w:rFonts w:ascii="仿宋" w:hAnsi="仿宋" w:eastAsia="仿宋" w:cs="仿宋"/>
          <w:spacing w:val="-3"/>
          <w:sz w:val="24"/>
          <w:szCs w:val="24"/>
        </w:rPr>
        <w:t>程中的行</w:t>
      </w:r>
      <w:r>
        <w:rPr>
          <w:rFonts w:ascii="仿宋" w:hAnsi="仿宋" w:eastAsia="仿宋" w:cs="仿宋"/>
          <w:sz w:val="24"/>
          <w:szCs w:val="24"/>
        </w:rPr>
        <w:t xml:space="preserve"> </w:t>
      </w:r>
      <w:r>
        <w:rPr>
          <w:rFonts w:ascii="仿宋" w:hAnsi="仿宋" w:eastAsia="仿宋" w:cs="仿宋"/>
          <w:spacing w:val="-1"/>
          <w:sz w:val="24"/>
          <w:szCs w:val="24"/>
        </w:rPr>
        <w:t>为）的，对方当事人可以书面通知违约方解除本合同；</w:t>
      </w:r>
    </w:p>
    <w:p w14:paraId="0D350457">
      <w:pPr>
        <w:spacing w:before="37" w:line="425" w:lineRule="auto"/>
        <w:ind w:right="2" w:firstLine="490"/>
        <w:jc w:val="both"/>
        <w:rPr>
          <w:rFonts w:ascii="仿宋" w:hAnsi="仿宋" w:eastAsia="仿宋" w:cs="仿宋"/>
          <w:sz w:val="24"/>
          <w:szCs w:val="24"/>
        </w:rPr>
      </w:pPr>
      <w:r>
        <w:rPr>
          <w:rFonts w:ascii="仿宋" w:hAnsi="仿宋" w:eastAsia="仿宋" w:cs="仿宋"/>
          <w:spacing w:val="-2"/>
          <w:sz w:val="24"/>
          <w:szCs w:val="24"/>
        </w:rPr>
        <w:t>1.6.4 任何一方按照前述约定要求违约方支付违约金</w:t>
      </w:r>
      <w:r>
        <w:rPr>
          <w:rFonts w:ascii="仿宋" w:hAnsi="仿宋" w:eastAsia="仿宋" w:cs="仿宋"/>
          <w:spacing w:val="-3"/>
          <w:sz w:val="24"/>
          <w:szCs w:val="24"/>
        </w:rPr>
        <w:t>的同时，仍有权要求违约方</w:t>
      </w:r>
      <w:r>
        <w:rPr>
          <w:rFonts w:ascii="仿宋" w:hAnsi="仿宋" w:eastAsia="仿宋" w:cs="仿宋"/>
          <w:sz w:val="24"/>
          <w:szCs w:val="24"/>
        </w:rPr>
        <w:t xml:space="preserve"> </w:t>
      </w:r>
      <w:r>
        <w:rPr>
          <w:rFonts w:ascii="仿宋" w:hAnsi="仿宋" w:eastAsia="仿宋" w:cs="仿宋"/>
          <w:spacing w:val="-2"/>
          <w:sz w:val="24"/>
          <w:szCs w:val="24"/>
        </w:rPr>
        <w:t>继续履行合同、采取补救措施，并有权按照己方实际损失情况要求违约方赔偿损失；</w:t>
      </w:r>
      <w:r>
        <w:rPr>
          <w:rFonts w:ascii="仿宋" w:hAnsi="仿宋" w:eastAsia="仿宋" w:cs="仿宋"/>
          <w:sz w:val="24"/>
          <w:szCs w:val="24"/>
        </w:rPr>
        <w:t xml:space="preserve"> </w:t>
      </w:r>
      <w:r>
        <w:rPr>
          <w:rFonts w:ascii="仿宋" w:hAnsi="仿宋" w:eastAsia="仿宋" w:cs="仿宋"/>
          <w:spacing w:val="-2"/>
          <w:sz w:val="24"/>
          <w:szCs w:val="24"/>
        </w:rPr>
        <w:t>任何一方按照前述约定要求解除本合同的同时，仍有权要求违约方支付违约金</w:t>
      </w:r>
      <w:r>
        <w:rPr>
          <w:rFonts w:ascii="仿宋" w:hAnsi="仿宋" w:eastAsia="仿宋" w:cs="仿宋"/>
          <w:spacing w:val="-3"/>
          <w:sz w:val="24"/>
          <w:szCs w:val="24"/>
        </w:rPr>
        <w:t>和按照</w:t>
      </w:r>
      <w:r>
        <w:rPr>
          <w:rFonts w:ascii="仿宋" w:hAnsi="仿宋" w:eastAsia="仿宋" w:cs="仿宋"/>
          <w:sz w:val="24"/>
          <w:szCs w:val="24"/>
        </w:rPr>
        <w:t xml:space="preserve"> </w:t>
      </w:r>
      <w:r>
        <w:rPr>
          <w:rFonts w:ascii="仿宋" w:hAnsi="仿宋" w:eastAsia="仿宋" w:cs="仿宋"/>
          <w:spacing w:val="-2"/>
          <w:sz w:val="24"/>
          <w:szCs w:val="24"/>
        </w:rPr>
        <w:t>己方实际损失情况要求违约方赔偿损失；且守约方行使的任何权利救济方式均</w:t>
      </w:r>
      <w:r>
        <w:rPr>
          <w:rFonts w:ascii="仿宋" w:hAnsi="仿宋" w:eastAsia="仿宋" w:cs="仿宋"/>
          <w:spacing w:val="-3"/>
          <w:sz w:val="24"/>
          <w:szCs w:val="24"/>
        </w:rPr>
        <w:t>不视为</w:t>
      </w:r>
      <w:r>
        <w:rPr>
          <w:rFonts w:ascii="仿宋" w:hAnsi="仿宋" w:eastAsia="仿宋" w:cs="仿宋"/>
          <w:sz w:val="24"/>
          <w:szCs w:val="24"/>
        </w:rPr>
        <w:t xml:space="preserve"> </w:t>
      </w:r>
      <w:r>
        <w:rPr>
          <w:rFonts w:ascii="仿宋" w:hAnsi="仿宋" w:eastAsia="仿宋" w:cs="仿宋"/>
          <w:spacing w:val="-1"/>
          <w:sz w:val="24"/>
          <w:szCs w:val="24"/>
        </w:rPr>
        <w:t>其放弃了其他法定或者约定的权利救济方式；</w:t>
      </w:r>
    </w:p>
    <w:p w14:paraId="6527870C">
      <w:pPr>
        <w:spacing w:before="38" w:line="421" w:lineRule="auto"/>
        <w:ind w:right="5" w:firstLine="490"/>
        <w:jc w:val="both"/>
        <w:rPr>
          <w:rFonts w:ascii="仿宋" w:hAnsi="仿宋" w:eastAsia="仿宋" w:cs="仿宋"/>
          <w:sz w:val="24"/>
          <w:szCs w:val="24"/>
        </w:rPr>
      </w:pPr>
      <w:r>
        <w:rPr>
          <w:rFonts w:ascii="仿宋" w:hAnsi="仿宋" w:eastAsia="仿宋" w:cs="仿宋"/>
          <w:spacing w:val="-2"/>
          <w:sz w:val="24"/>
          <w:szCs w:val="24"/>
        </w:rPr>
        <w:t>1.6.5 除前述约定外，除不可抗力外，任何一方未能</w:t>
      </w:r>
      <w:r>
        <w:rPr>
          <w:rFonts w:ascii="仿宋" w:hAnsi="仿宋" w:eastAsia="仿宋" w:cs="仿宋"/>
          <w:spacing w:val="-3"/>
          <w:sz w:val="24"/>
          <w:szCs w:val="24"/>
        </w:rPr>
        <w:t>履行本合同约定的义务，对</w:t>
      </w:r>
      <w:r>
        <w:rPr>
          <w:rFonts w:ascii="仿宋" w:hAnsi="仿宋" w:eastAsia="仿宋" w:cs="仿宋"/>
          <w:sz w:val="24"/>
          <w:szCs w:val="24"/>
        </w:rPr>
        <w:t xml:space="preserve"> </w:t>
      </w:r>
      <w:r>
        <w:rPr>
          <w:rFonts w:ascii="仿宋" w:hAnsi="仿宋" w:eastAsia="仿宋" w:cs="仿宋"/>
          <w:spacing w:val="-2"/>
          <w:sz w:val="24"/>
          <w:szCs w:val="24"/>
        </w:rPr>
        <w:t>方当事人均有权要求继续履行、采取补救措施或者赔偿损失等，且对方当事人</w:t>
      </w:r>
      <w:r>
        <w:rPr>
          <w:rFonts w:ascii="仿宋" w:hAnsi="仿宋" w:eastAsia="仿宋" w:cs="仿宋"/>
          <w:spacing w:val="-3"/>
          <w:sz w:val="24"/>
          <w:szCs w:val="24"/>
        </w:rPr>
        <w:t>行使的</w:t>
      </w:r>
      <w:r>
        <w:rPr>
          <w:rFonts w:ascii="仿宋" w:hAnsi="仿宋" w:eastAsia="仿宋" w:cs="仿宋"/>
          <w:sz w:val="24"/>
          <w:szCs w:val="24"/>
        </w:rPr>
        <w:t xml:space="preserve"> </w:t>
      </w:r>
      <w:r>
        <w:rPr>
          <w:rFonts w:ascii="仿宋" w:hAnsi="仿宋" w:eastAsia="仿宋" w:cs="仿宋"/>
          <w:spacing w:val="-1"/>
          <w:sz w:val="24"/>
          <w:szCs w:val="24"/>
        </w:rPr>
        <w:t>任何权利救济方式均不视为其放弃了其他法定或者约定的权利救济方式；</w:t>
      </w:r>
    </w:p>
    <w:p w14:paraId="2BFF7CE0">
      <w:pPr>
        <w:spacing w:before="39" w:line="421" w:lineRule="auto"/>
        <w:ind w:left="2" w:right="5" w:firstLine="488"/>
        <w:jc w:val="both"/>
        <w:rPr>
          <w:rFonts w:ascii="仿宋" w:hAnsi="仿宋" w:eastAsia="仿宋" w:cs="仿宋"/>
          <w:sz w:val="24"/>
          <w:szCs w:val="24"/>
        </w:rPr>
      </w:pPr>
      <w:r>
        <w:rPr>
          <w:rFonts w:ascii="仿宋" w:hAnsi="仿宋" w:eastAsia="仿宋" w:cs="仿宋"/>
          <w:spacing w:val="-2"/>
          <w:sz w:val="24"/>
          <w:szCs w:val="24"/>
        </w:rPr>
        <w:t>1.6.6 如果出现政府采购监督管理部门在处理投诉事</w:t>
      </w:r>
      <w:r>
        <w:rPr>
          <w:rFonts w:ascii="仿宋" w:hAnsi="仿宋" w:eastAsia="仿宋" w:cs="仿宋"/>
          <w:spacing w:val="-3"/>
          <w:sz w:val="24"/>
          <w:szCs w:val="24"/>
        </w:rPr>
        <w:t>项期间，书面通知甲方暂停</w:t>
      </w:r>
      <w:r>
        <w:rPr>
          <w:rFonts w:ascii="仿宋" w:hAnsi="仿宋" w:eastAsia="仿宋" w:cs="仿宋"/>
          <w:sz w:val="24"/>
          <w:szCs w:val="24"/>
        </w:rPr>
        <w:t xml:space="preserve"> </w:t>
      </w:r>
      <w:r>
        <w:rPr>
          <w:rFonts w:ascii="仿宋" w:hAnsi="仿宋" w:eastAsia="仿宋" w:cs="仿宋"/>
          <w:spacing w:val="-2"/>
          <w:sz w:val="24"/>
          <w:szCs w:val="24"/>
        </w:rPr>
        <w:t>采购活动的情形，或者询问或质疑事项可能影响中标结果的，导致甲方中</w:t>
      </w:r>
      <w:r>
        <w:rPr>
          <w:rFonts w:ascii="仿宋" w:hAnsi="仿宋" w:eastAsia="仿宋" w:cs="仿宋"/>
          <w:spacing w:val="-3"/>
          <w:sz w:val="24"/>
          <w:szCs w:val="24"/>
        </w:rPr>
        <w:t>止履行合同</w:t>
      </w:r>
      <w:r>
        <w:rPr>
          <w:rFonts w:ascii="仿宋" w:hAnsi="仿宋" w:eastAsia="仿宋" w:cs="仿宋"/>
          <w:sz w:val="24"/>
          <w:szCs w:val="24"/>
        </w:rPr>
        <w:t xml:space="preserve"> </w:t>
      </w:r>
      <w:r>
        <w:rPr>
          <w:rFonts w:ascii="仿宋" w:hAnsi="仿宋" w:eastAsia="仿宋" w:cs="仿宋"/>
          <w:spacing w:val="-2"/>
          <w:sz w:val="24"/>
          <w:szCs w:val="24"/>
        </w:rPr>
        <w:t>的情形，均不视为甲方违约。</w:t>
      </w:r>
    </w:p>
    <w:p w14:paraId="67F9AF65">
      <w:pPr>
        <w:spacing w:before="37" w:line="222" w:lineRule="auto"/>
        <w:ind w:left="491"/>
        <w:rPr>
          <w:rFonts w:ascii="仿宋" w:hAnsi="仿宋" w:eastAsia="仿宋" w:cs="仿宋"/>
          <w:sz w:val="24"/>
          <w:szCs w:val="24"/>
        </w:rPr>
      </w:pPr>
      <w:r>
        <w:rPr>
          <w:rFonts w:ascii="仿宋" w:hAnsi="仿宋" w:eastAsia="仿宋" w:cs="仿宋"/>
          <w:b/>
          <w:bCs/>
          <w:spacing w:val="-7"/>
          <w:sz w:val="24"/>
          <w:szCs w:val="24"/>
        </w:rPr>
        <w:t>1.7</w:t>
      </w:r>
      <w:r>
        <w:rPr>
          <w:rFonts w:ascii="仿宋" w:hAnsi="仿宋" w:eastAsia="仿宋" w:cs="仿宋"/>
          <w:spacing w:val="24"/>
          <w:sz w:val="24"/>
          <w:szCs w:val="24"/>
        </w:rPr>
        <w:t xml:space="preserve"> </w:t>
      </w:r>
      <w:r>
        <w:rPr>
          <w:rFonts w:ascii="仿宋" w:hAnsi="仿宋" w:eastAsia="仿宋" w:cs="仿宋"/>
          <w:b/>
          <w:bCs/>
          <w:spacing w:val="-7"/>
          <w:sz w:val="24"/>
          <w:szCs w:val="24"/>
        </w:rPr>
        <w:t>合同争议的解决</w:t>
      </w:r>
    </w:p>
    <w:p w14:paraId="1B57FAAC">
      <w:pPr>
        <w:spacing w:before="270" w:line="416" w:lineRule="auto"/>
        <w:ind w:left="4" w:right="5" w:firstLine="477"/>
        <w:rPr>
          <w:rFonts w:ascii="仿宋" w:hAnsi="仿宋" w:eastAsia="仿宋" w:cs="仿宋"/>
          <w:sz w:val="24"/>
          <w:szCs w:val="24"/>
        </w:rPr>
      </w:pPr>
      <w:r>
        <w:rPr>
          <w:rFonts w:ascii="仿宋" w:hAnsi="仿宋" w:eastAsia="仿宋" w:cs="仿宋"/>
          <w:spacing w:val="-2"/>
          <w:sz w:val="24"/>
          <w:szCs w:val="24"/>
        </w:rPr>
        <w:t>本合同履行过程中发生的任何争议，双方当事人均可通过和解</w:t>
      </w:r>
      <w:r>
        <w:rPr>
          <w:rFonts w:ascii="仿宋" w:hAnsi="仿宋" w:eastAsia="仿宋" w:cs="仿宋"/>
          <w:spacing w:val="-3"/>
          <w:sz w:val="24"/>
          <w:szCs w:val="24"/>
        </w:rPr>
        <w:t>或者调解解决；不</w:t>
      </w:r>
      <w:r>
        <w:rPr>
          <w:rFonts w:ascii="仿宋" w:hAnsi="仿宋" w:eastAsia="仿宋" w:cs="仿宋"/>
          <w:sz w:val="24"/>
          <w:szCs w:val="24"/>
        </w:rPr>
        <w:t xml:space="preserve"> </w:t>
      </w:r>
      <w:r>
        <w:rPr>
          <w:rFonts w:ascii="仿宋" w:hAnsi="仿宋" w:eastAsia="仿宋" w:cs="仿宋"/>
          <w:spacing w:val="-1"/>
          <w:sz w:val="24"/>
          <w:szCs w:val="24"/>
        </w:rPr>
        <w:t>愿和解、调解或者和解、调解不成的，可以选择下列第</w:t>
      </w:r>
      <w:r>
        <w:rPr>
          <w:rFonts w:ascii="仿宋" w:hAnsi="仿宋" w:eastAsia="仿宋" w:cs="仿宋"/>
          <w:spacing w:val="-1"/>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种方式解决：</w:t>
      </w:r>
    </w:p>
    <w:p w14:paraId="2C413EB3">
      <w:pPr>
        <w:spacing w:before="40" w:line="415" w:lineRule="auto"/>
        <w:ind w:right="5" w:firstLine="491"/>
        <w:rPr>
          <w:rFonts w:ascii="仿宋" w:hAnsi="仿宋" w:eastAsia="仿宋" w:cs="仿宋"/>
          <w:sz w:val="24"/>
          <w:szCs w:val="24"/>
        </w:rPr>
      </w:pPr>
      <w:r>
        <w:rPr>
          <w:rFonts w:ascii="仿宋" w:hAnsi="仿宋" w:eastAsia="仿宋" w:cs="仿宋"/>
          <w:spacing w:val="2"/>
          <w:sz w:val="24"/>
          <w:szCs w:val="24"/>
        </w:rPr>
        <w:t>1.7.1 将争议提交</w:t>
      </w:r>
      <w:r>
        <w:rPr>
          <w:rFonts w:ascii="仿宋" w:hAnsi="仿宋" w:eastAsia="仿宋" w:cs="仿宋"/>
          <w:spacing w:val="-113"/>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
          <w:sz w:val="24"/>
          <w:szCs w:val="24"/>
        </w:rPr>
        <w:t>仲裁委员会依申请仲裁时其现行有效的仲裁</w:t>
      </w:r>
      <w:r>
        <w:rPr>
          <w:rFonts w:ascii="仿宋" w:hAnsi="仿宋" w:eastAsia="仿宋" w:cs="仿宋"/>
          <w:sz w:val="24"/>
          <w:szCs w:val="24"/>
        </w:rPr>
        <w:t xml:space="preserve"> </w:t>
      </w:r>
      <w:r>
        <w:rPr>
          <w:rFonts w:ascii="仿宋" w:hAnsi="仿宋" w:eastAsia="仿宋" w:cs="仿宋"/>
          <w:spacing w:val="-4"/>
          <w:sz w:val="24"/>
          <w:szCs w:val="24"/>
        </w:rPr>
        <w:t>规则裁决；</w:t>
      </w:r>
    </w:p>
    <w:p w14:paraId="601EA390">
      <w:pPr>
        <w:spacing w:before="41" w:line="414" w:lineRule="auto"/>
        <w:ind w:left="2" w:right="7" w:firstLine="488"/>
        <w:rPr>
          <w:rFonts w:ascii="仿宋" w:hAnsi="仿宋" w:eastAsia="仿宋" w:cs="仿宋"/>
          <w:sz w:val="24"/>
          <w:szCs w:val="24"/>
        </w:rPr>
      </w:pPr>
      <w:r>
        <w:rPr>
          <w:rFonts w:ascii="仿宋" w:hAnsi="仿宋" w:eastAsia="仿宋" w:cs="仿宋"/>
          <w:sz w:val="24"/>
          <w:szCs w:val="24"/>
        </w:rPr>
        <w:t>1.7.2</w:t>
      </w:r>
      <w:r>
        <w:rPr>
          <w:rFonts w:ascii="仿宋" w:hAnsi="仿宋" w:eastAsia="仿宋" w:cs="仿宋"/>
          <w:spacing w:val="47"/>
          <w:sz w:val="24"/>
          <w:szCs w:val="24"/>
        </w:rPr>
        <w:t xml:space="preserve"> </w:t>
      </w:r>
      <w:r>
        <w:rPr>
          <w:rFonts w:ascii="仿宋" w:hAnsi="仿宋" w:eastAsia="仿宋" w:cs="仿宋"/>
          <w:sz w:val="24"/>
          <w:szCs w:val="24"/>
        </w:rPr>
        <w:t>向</w:t>
      </w:r>
      <w:r>
        <w:rPr>
          <w:rFonts w:ascii="仿宋" w:hAnsi="仿宋" w:eastAsia="仿宋" w:cs="仿宋"/>
          <w:sz w:val="24"/>
          <w:szCs w:val="24"/>
          <w:u w:val="single" w:color="auto"/>
        </w:rPr>
        <w:t xml:space="preserve">   （被告住所地、合同履行地</w:t>
      </w:r>
      <w:r>
        <w:rPr>
          <w:rFonts w:ascii="仿宋" w:hAnsi="仿宋" w:eastAsia="仿宋" w:cs="仿宋"/>
          <w:spacing w:val="-1"/>
          <w:sz w:val="24"/>
          <w:szCs w:val="24"/>
          <w:u w:val="single" w:color="auto"/>
        </w:rPr>
        <w:t>、合同签订地、原告住所地、标的物所</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在地等与争议有实际联系的地点中选出的人民法院名称）    </w:t>
      </w:r>
      <w:r>
        <w:rPr>
          <w:rFonts w:ascii="仿宋" w:hAnsi="仿宋" w:eastAsia="仿宋" w:cs="仿宋"/>
          <w:spacing w:val="-99"/>
          <w:sz w:val="24"/>
          <w:szCs w:val="24"/>
        </w:rPr>
        <w:t xml:space="preserve"> </w:t>
      </w:r>
      <w:r>
        <w:rPr>
          <w:rFonts w:ascii="仿宋" w:hAnsi="仿宋" w:eastAsia="仿宋" w:cs="仿宋"/>
          <w:spacing w:val="-1"/>
          <w:sz w:val="24"/>
          <w:szCs w:val="24"/>
        </w:rPr>
        <w:t>人民法</w:t>
      </w:r>
      <w:r>
        <w:rPr>
          <w:rFonts w:ascii="仿宋" w:hAnsi="仿宋" w:eastAsia="仿宋" w:cs="仿宋"/>
          <w:spacing w:val="-2"/>
          <w:sz w:val="24"/>
          <w:szCs w:val="24"/>
        </w:rPr>
        <w:t>院起诉。</w:t>
      </w:r>
    </w:p>
    <w:p w14:paraId="2D98A001">
      <w:pPr>
        <w:pStyle w:val="3"/>
        <w:spacing w:line="299" w:lineRule="auto"/>
      </w:pPr>
      <w:r>
        <w:rPr>
          <w:rFonts w:ascii="仿宋" w:hAnsi="仿宋" w:eastAsia="仿宋" w:cs="仿宋"/>
          <w:b/>
          <w:bCs/>
          <w:spacing w:val="-9"/>
          <w:sz w:val="24"/>
          <w:szCs w:val="24"/>
        </w:rPr>
        <w:t>1.8</w:t>
      </w:r>
      <w:r>
        <w:rPr>
          <w:rFonts w:ascii="仿宋" w:hAnsi="仿宋" w:eastAsia="仿宋" w:cs="仿宋"/>
          <w:spacing w:val="22"/>
          <w:sz w:val="24"/>
          <w:szCs w:val="24"/>
        </w:rPr>
        <w:t xml:space="preserve"> </w:t>
      </w:r>
      <w:r>
        <w:rPr>
          <w:rFonts w:ascii="仿宋" w:hAnsi="仿宋" w:eastAsia="仿宋" w:cs="仿宋"/>
          <w:b/>
          <w:bCs/>
          <w:spacing w:val="-9"/>
          <w:sz w:val="24"/>
          <w:szCs w:val="24"/>
        </w:rPr>
        <w:t>合同生效</w:t>
      </w:r>
    </w:p>
    <w:p w14:paraId="13D1357D">
      <w:pPr>
        <w:pStyle w:val="3"/>
        <w:spacing w:line="299" w:lineRule="auto"/>
      </w:pPr>
    </w:p>
    <w:p w14:paraId="2F9A98B4">
      <w:pPr>
        <w:pStyle w:val="3"/>
        <w:spacing w:line="300" w:lineRule="auto"/>
      </w:pPr>
    </w:p>
    <w:p w14:paraId="39EE7FB0">
      <w:pPr>
        <w:pStyle w:val="3"/>
        <w:spacing w:line="300" w:lineRule="auto"/>
      </w:pPr>
    </w:p>
    <w:p w14:paraId="16649592">
      <w:pPr>
        <w:spacing w:before="78" w:line="222" w:lineRule="auto"/>
        <w:ind w:left="483"/>
        <w:rPr>
          <w:rFonts w:ascii="仿宋" w:hAnsi="仿宋" w:eastAsia="仿宋" w:cs="仿宋"/>
          <w:sz w:val="24"/>
          <w:szCs w:val="24"/>
        </w:rPr>
      </w:pPr>
      <w:r>
        <w:rPr>
          <w:rFonts w:ascii="仿宋" w:hAnsi="仿宋" w:eastAsia="仿宋" w:cs="仿宋"/>
          <w:spacing w:val="-1"/>
          <w:sz w:val="24"/>
          <w:szCs w:val="24"/>
        </w:rPr>
        <w:t>本合同自双方当事人盖章或者签字时生效。</w:t>
      </w:r>
    </w:p>
    <w:p w14:paraId="0CDD21AE">
      <w:pPr>
        <w:pStyle w:val="3"/>
        <w:spacing w:line="249" w:lineRule="auto"/>
      </w:pPr>
    </w:p>
    <w:p w14:paraId="4A0AB40A">
      <w:pPr>
        <w:pStyle w:val="3"/>
        <w:spacing w:line="249" w:lineRule="auto"/>
      </w:pPr>
    </w:p>
    <w:p w14:paraId="0B7E6DB7">
      <w:pPr>
        <w:pStyle w:val="3"/>
        <w:spacing w:line="249" w:lineRule="auto"/>
      </w:pPr>
    </w:p>
    <w:p w14:paraId="536AFF8B">
      <w:pPr>
        <w:spacing w:before="78" w:line="222" w:lineRule="auto"/>
        <w:ind w:left="34"/>
        <w:rPr>
          <w:rFonts w:ascii="仿宋" w:hAnsi="仿宋" w:eastAsia="仿宋" w:cs="仿宋"/>
          <w:sz w:val="24"/>
          <w:szCs w:val="24"/>
        </w:rPr>
      </w:pPr>
      <w:r>
        <w:rPr>
          <w:rFonts w:ascii="仿宋" w:hAnsi="仿宋" w:eastAsia="仿宋" w:cs="仿宋"/>
          <w:b/>
          <w:bCs/>
          <w:spacing w:val="-7"/>
          <w:sz w:val="24"/>
          <w:szCs w:val="24"/>
        </w:rPr>
        <w:t>甲方</w:t>
      </w:r>
      <w:r>
        <w:rPr>
          <w:rFonts w:ascii="仿宋" w:hAnsi="仿宋" w:eastAsia="仿宋" w:cs="仿宋"/>
          <w:spacing w:val="-7"/>
          <w:sz w:val="24"/>
          <w:szCs w:val="24"/>
        </w:rPr>
        <w:t xml:space="preserve">：                                     </w:t>
      </w:r>
      <w:r>
        <w:rPr>
          <w:rFonts w:ascii="仿宋" w:hAnsi="仿宋" w:eastAsia="仿宋" w:cs="仿宋"/>
          <w:b/>
          <w:bCs/>
          <w:spacing w:val="-7"/>
          <w:sz w:val="24"/>
          <w:szCs w:val="24"/>
        </w:rPr>
        <w:t>乙方</w:t>
      </w:r>
      <w:r>
        <w:rPr>
          <w:rFonts w:ascii="仿宋" w:hAnsi="仿宋" w:eastAsia="仿宋" w:cs="仿宋"/>
          <w:spacing w:val="-7"/>
          <w:sz w:val="24"/>
          <w:szCs w:val="24"/>
        </w:rPr>
        <w:t>：</w:t>
      </w:r>
    </w:p>
    <w:p w14:paraId="3D84AD92">
      <w:pPr>
        <w:spacing w:before="272" w:line="222" w:lineRule="auto"/>
        <w:jc w:val="right"/>
        <w:rPr>
          <w:rFonts w:ascii="仿宋" w:hAnsi="仿宋" w:eastAsia="仿宋" w:cs="仿宋"/>
          <w:sz w:val="24"/>
          <w:szCs w:val="24"/>
        </w:rPr>
      </w:pPr>
      <w:r>
        <w:rPr>
          <w:rFonts w:ascii="仿宋" w:hAnsi="仿宋" w:eastAsia="仿宋" w:cs="仿宋"/>
          <w:spacing w:val="-2"/>
          <w:sz w:val="24"/>
          <w:szCs w:val="24"/>
        </w:rPr>
        <w:t>统一社会信用代码：                        统一社会信用代码或身份证号码：</w:t>
      </w:r>
    </w:p>
    <w:p w14:paraId="58C87B83">
      <w:pPr>
        <w:pStyle w:val="3"/>
        <w:spacing w:line="249" w:lineRule="auto"/>
      </w:pPr>
    </w:p>
    <w:p w14:paraId="36B31F24">
      <w:pPr>
        <w:pStyle w:val="3"/>
        <w:spacing w:line="249" w:lineRule="auto"/>
      </w:pPr>
    </w:p>
    <w:p w14:paraId="2A604749">
      <w:pPr>
        <w:pStyle w:val="3"/>
        <w:spacing w:line="249" w:lineRule="auto"/>
      </w:pPr>
    </w:p>
    <w:p w14:paraId="53C3A025">
      <w:pPr>
        <w:spacing w:before="78" w:line="222" w:lineRule="auto"/>
        <w:ind w:left="2"/>
        <w:rPr>
          <w:rFonts w:ascii="仿宋" w:hAnsi="仿宋" w:eastAsia="仿宋" w:cs="仿宋"/>
          <w:sz w:val="24"/>
          <w:szCs w:val="24"/>
        </w:rPr>
      </w:pPr>
      <w:r>
        <w:rPr>
          <w:rFonts w:ascii="仿宋" w:hAnsi="仿宋" w:eastAsia="仿宋" w:cs="仿宋"/>
          <w:spacing w:val="-6"/>
          <w:sz w:val="24"/>
          <w:szCs w:val="24"/>
        </w:rPr>
        <w:t>住所：</w:t>
      </w:r>
      <w:r>
        <w:rPr>
          <w:rFonts w:ascii="仿宋" w:hAnsi="仿宋" w:eastAsia="仿宋" w:cs="仿宋"/>
          <w:sz w:val="24"/>
          <w:szCs w:val="24"/>
        </w:rPr>
        <w:t xml:space="preserve">                                   </w:t>
      </w:r>
      <w:r>
        <w:rPr>
          <w:rFonts w:ascii="仿宋" w:hAnsi="仿宋" w:eastAsia="仿宋" w:cs="仿宋"/>
          <w:spacing w:val="-6"/>
          <w:sz w:val="24"/>
          <w:szCs w:val="24"/>
        </w:rPr>
        <w:t>住所：</w:t>
      </w:r>
    </w:p>
    <w:p w14:paraId="2A4FCDB2">
      <w:pPr>
        <w:spacing w:before="273" w:line="223" w:lineRule="auto"/>
        <w:ind w:left="10"/>
        <w:rPr>
          <w:rFonts w:ascii="仿宋" w:hAnsi="仿宋" w:eastAsia="仿宋" w:cs="仿宋"/>
          <w:sz w:val="24"/>
          <w:szCs w:val="24"/>
        </w:rPr>
      </w:pPr>
      <w:r>
        <w:rPr>
          <w:rFonts w:ascii="仿宋" w:hAnsi="仿宋" w:eastAsia="仿宋" w:cs="仿宋"/>
          <w:spacing w:val="-5"/>
          <w:sz w:val="24"/>
          <w:szCs w:val="24"/>
        </w:rPr>
        <w:t>法定代表人或</w:t>
      </w:r>
      <w:r>
        <w:rPr>
          <w:rFonts w:ascii="仿宋" w:hAnsi="仿宋" w:eastAsia="仿宋" w:cs="仿宋"/>
          <w:spacing w:val="1"/>
          <w:sz w:val="24"/>
          <w:szCs w:val="24"/>
        </w:rPr>
        <w:t xml:space="preserve">                             </w:t>
      </w:r>
      <w:r>
        <w:rPr>
          <w:rFonts w:ascii="仿宋" w:hAnsi="仿宋" w:eastAsia="仿宋" w:cs="仿宋"/>
          <w:spacing w:val="-5"/>
          <w:sz w:val="24"/>
          <w:szCs w:val="24"/>
        </w:rPr>
        <w:t>法定代表人</w:t>
      </w:r>
    </w:p>
    <w:p w14:paraId="782752F2">
      <w:pPr>
        <w:spacing w:before="269" w:line="222" w:lineRule="auto"/>
        <w:ind w:left="2"/>
        <w:rPr>
          <w:rFonts w:ascii="仿宋" w:hAnsi="仿宋" w:eastAsia="仿宋" w:cs="仿宋"/>
          <w:sz w:val="24"/>
          <w:szCs w:val="24"/>
        </w:rPr>
      </w:pPr>
      <w:r>
        <w:rPr>
          <w:rFonts w:ascii="仿宋" w:hAnsi="仿宋" w:eastAsia="仿宋" w:cs="仿宋"/>
          <w:spacing w:val="-1"/>
          <w:sz w:val="24"/>
          <w:szCs w:val="24"/>
        </w:rPr>
        <w:t>授权代表（签字</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1"/>
          <w:sz w:val="24"/>
          <w:szCs w:val="24"/>
        </w:rPr>
        <w:t>或授权代表（签字）:</w:t>
      </w:r>
    </w:p>
    <w:p w14:paraId="684E3A26">
      <w:pPr>
        <w:spacing w:before="271" w:line="224" w:lineRule="auto"/>
        <w:rPr>
          <w:rFonts w:ascii="仿宋" w:hAnsi="仿宋" w:eastAsia="仿宋" w:cs="仿宋"/>
          <w:sz w:val="24"/>
          <w:szCs w:val="24"/>
        </w:rPr>
      </w:pPr>
      <w:r>
        <w:rPr>
          <w:rFonts w:ascii="仿宋" w:hAnsi="仿宋" w:eastAsia="仿宋" w:cs="仿宋"/>
          <w:spacing w:val="-4"/>
          <w:sz w:val="24"/>
          <w:szCs w:val="24"/>
        </w:rPr>
        <w:t>联系人：</w:t>
      </w:r>
      <w:r>
        <w:rPr>
          <w:rFonts w:ascii="仿宋" w:hAnsi="仿宋" w:eastAsia="仿宋" w:cs="仿宋"/>
          <w:sz w:val="24"/>
          <w:szCs w:val="24"/>
        </w:rPr>
        <w:t xml:space="preserve">                                 </w:t>
      </w:r>
      <w:r>
        <w:rPr>
          <w:rFonts w:ascii="仿宋" w:hAnsi="仿宋" w:eastAsia="仿宋" w:cs="仿宋"/>
          <w:spacing w:val="-4"/>
          <w:sz w:val="24"/>
          <w:szCs w:val="24"/>
        </w:rPr>
        <w:t>联系人：</w:t>
      </w:r>
    </w:p>
    <w:p w14:paraId="3692EAEA">
      <w:pPr>
        <w:spacing w:before="269" w:line="224" w:lineRule="auto"/>
        <w:ind w:left="4"/>
        <w:rPr>
          <w:rFonts w:ascii="仿宋" w:hAnsi="仿宋" w:eastAsia="仿宋" w:cs="仿宋"/>
          <w:sz w:val="24"/>
          <w:szCs w:val="24"/>
        </w:rPr>
      </w:pPr>
      <w:r>
        <w:rPr>
          <w:rFonts w:ascii="仿宋" w:hAnsi="仿宋" w:eastAsia="仿宋" w:cs="仿宋"/>
          <w:sz w:val="24"/>
          <w:szCs w:val="24"/>
        </w:rPr>
        <w:t xml:space="preserve">约定送达地址：               </w:t>
      </w:r>
      <w:r>
        <w:rPr>
          <w:rFonts w:ascii="仿宋" w:hAnsi="仿宋" w:eastAsia="仿宋" w:cs="仿宋"/>
          <w:spacing w:val="-1"/>
          <w:sz w:val="24"/>
          <w:szCs w:val="24"/>
        </w:rPr>
        <w:t xml:space="preserve">            约定送达地址：</w:t>
      </w:r>
    </w:p>
    <w:p w14:paraId="213B21D1">
      <w:pPr>
        <w:spacing w:before="268" w:line="222" w:lineRule="auto"/>
        <w:ind w:left="20"/>
        <w:rPr>
          <w:rFonts w:ascii="仿宋" w:hAnsi="仿宋" w:eastAsia="仿宋" w:cs="仿宋"/>
          <w:sz w:val="24"/>
          <w:szCs w:val="24"/>
        </w:rPr>
      </w:pPr>
      <w:r>
        <w:rPr>
          <w:rFonts w:ascii="仿宋" w:hAnsi="仿宋" w:eastAsia="仿宋" w:cs="仿宋"/>
          <w:spacing w:val="-4"/>
          <w:sz w:val="24"/>
          <w:szCs w:val="24"/>
        </w:rPr>
        <w:t>邮政编码：                                邮政编码：</w:t>
      </w:r>
    </w:p>
    <w:p w14:paraId="5A0AC446">
      <w:pPr>
        <w:spacing w:before="271" w:line="223" w:lineRule="auto"/>
        <w:ind w:left="29"/>
        <w:rPr>
          <w:rFonts w:ascii="仿宋" w:hAnsi="仿宋" w:eastAsia="仿宋" w:cs="仿宋"/>
          <w:sz w:val="24"/>
          <w:szCs w:val="24"/>
        </w:rPr>
      </w:pPr>
      <w:r>
        <w:rPr>
          <w:rFonts w:ascii="仿宋" w:hAnsi="仿宋" w:eastAsia="仿宋" w:cs="仿宋"/>
          <w:spacing w:val="-9"/>
          <w:sz w:val="24"/>
          <w:szCs w:val="24"/>
        </w:rPr>
        <w:t>电话:                                       电话:</w:t>
      </w:r>
    </w:p>
    <w:p w14:paraId="22034A2E">
      <w:pPr>
        <w:spacing w:before="272" w:line="223" w:lineRule="auto"/>
        <w:ind w:left="5"/>
        <w:rPr>
          <w:rFonts w:ascii="仿宋" w:hAnsi="仿宋" w:eastAsia="仿宋" w:cs="仿宋"/>
          <w:sz w:val="24"/>
          <w:szCs w:val="24"/>
        </w:rPr>
      </w:pPr>
      <w:r>
        <w:rPr>
          <w:rFonts w:ascii="仿宋" w:hAnsi="仿宋" w:eastAsia="仿宋" w:cs="仿宋"/>
          <w:spacing w:val="-3"/>
          <w:sz w:val="24"/>
          <w:szCs w:val="24"/>
        </w:rPr>
        <w:t xml:space="preserve">传真:                             </w:t>
      </w:r>
      <w:r>
        <w:rPr>
          <w:rFonts w:ascii="仿宋" w:hAnsi="仿宋" w:eastAsia="仿宋" w:cs="仿宋"/>
          <w:spacing w:val="-4"/>
          <w:sz w:val="24"/>
          <w:szCs w:val="24"/>
        </w:rPr>
        <w:t xml:space="preserve">        传真:</w:t>
      </w:r>
    </w:p>
    <w:p w14:paraId="1FCE7227">
      <w:pPr>
        <w:spacing w:before="269" w:line="221" w:lineRule="auto"/>
        <w:ind w:left="29"/>
        <w:rPr>
          <w:rFonts w:ascii="仿宋" w:hAnsi="仿宋" w:eastAsia="仿宋" w:cs="仿宋"/>
          <w:sz w:val="24"/>
          <w:szCs w:val="24"/>
        </w:rPr>
      </w:pPr>
      <w:r>
        <w:rPr>
          <w:rFonts w:ascii="仿宋" w:hAnsi="仿宋" w:eastAsia="仿宋" w:cs="仿宋"/>
          <w:spacing w:val="-9"/>
          <w:sz w:val="24"/>
          <w:szCs w:val="24"/>
        </w:rPr>
        <w:t>电子邮箱：</w:t>
      </w:r>
      <w:r>
        <w:rPr>
          <w:rFonts w:ascii="仿宋" w:hAnsi="仿宋" w:eastAsia="仿宋" w:cs="仿宋"/>
          <w:spacing w:val="1"/>
          <w:sz w:val="24"/>
          <w:szCs w:val="24"/>
        </w:rPr>
        <w:t xml:space="preserve">                               </w:t>
      </w:r>
      <w:r>
        <w:rPr>
          <w:rFonts w:ascii="仿宋" w:hAnsi="仿宋" w:eastAsia="仿宋" w:cs="仿宋"/>
          <w:spacing w:val="-9"/>
          <w:sz w:val="24"/>
          <w:szCs w:val="24"/>
        </w:rPr>
        <w:t>电子邮箱：</w:t>
      </w:r>
    </w:p>
    <w:p w14:paraId="7BDACB1B">
      <w:pPr>
        <w:spacing w:before="272" w:line="221" w:lineRule="auto"/>
        <w:ind w:left="2"/>
        <w:rPr>
          <w:rFonts w:ascii="仿宋" w:hAnsi="仿宋" w:eastAsia="仿宋" w:cs="仿宋"/>
          <w:sz w:val="24"/>
          <w:szCs w:val="24"/>
        </w:rPr>
      </w:pPr>
      <w:r>
        <w:rPr>
          <w:rFonts w:ascii="仿宋" w:hAnsi="仿宋" w:eastAsia="仿宋" w:cs="仿宋"/>
          <w:spacing w:val="-4"/>
          <w:sz w:val="24"/>
          <w:szCs w:val="24"/>
        </w:rPr>
        <w:t>开户银行：</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开户银行：</w:t>
      </w:r>
    </w:p>
    <w:p w14:paraId="33EC2C7E">
      <w:pPr>
        <w:spacing w:before="274" w:line="221" w:lineRule="auto"/>
        <w:ind w:left="2"/>
        <w:rPr>
          <w:rFonts w:ascii="仿宋" w:hAnsi="仿宋" w:eastAsia="仿宋" w:cs="仿宋"/>
          <w:sz w:val="24"/>
          <w:szCs w:val="24"/>
        </w:rPr>
      </w:pPr>
      <w:r>
        <w:rPr>
          <w:rFonts w:ascii="仿宋" w:hAnsi="仿宋" w:eastAsia="仿宋" w:cs="仿宋"/>
          <w:spacing w:val="-4"/>
          <w:sz w:val="24"/>
          <w:szCs w:val="24"/>
        </w:rPr>
        <w:t>开户名称：</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开户名称：</w:t>
      </w:r>
    </w:p>
    <w:p w14:paraId="58EBC364">
      <w:pPr>
        <w:spacing w:before="273" w:line="222" w:lineRule="auto"/>
        <w:ind w:left="2"/>
        <w:rPr>
          <w:rFonts w:ascii="仿宋" w:hAnsi="仿宋" w:eastAsia="仿宋" w:cs="仿宋"/>
          <w:sz w:val="24"/>
          <w:szCs w:val="24"/>
        </w:rPr>
      </w:pPr>
      <w:r>
        <w:rPr>
          <w:rFonts w:ascii="仿宋" w:hAnsi="仿宋" w:eastAsia="仿宋" w:cs="仿宋"/>
          <w:spacing w:val="-4"/>
          <w:sz w:val="24"/>
          <w:szCs w:val="24"/>
        </w:rPr>
        <w:t>开户账号：</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4"/>
          <w:sz w:val="24"/>
          <w:szCs w:val="24"/>
        </w:rPr>
        <w:t>开户账号：</w:t>
      </w:r>
    </w:p>
    <w:p w14:paraId="3EFF6C0F">
      <w:pPr>
        <w:spacing w:line="222" w:lineRule="auto"/>
        <w:rPr>
          <w:rFonts w:ascii="仿宋" w:hAnsi="仿宋" w:eastAsia="仿宋" w:cs="仿宋"/>
          <w:sz w:val="24"/>
          <w:szCs w:val="24"/>
        </w:rPr>
        <w:sectPr>
          <w:headerReference r:id="rId10" w:type="default"/>
          <w:footerReference r:id="rId11" w:type="default"/>
          <w:pgSz w:w="11910" w:h="16840"/>
          <w:pgMar w:top="1440" w:right="1800" w:bottom="1440" w:left="1800" w:header="0" w:footer="1157" w:gutter="0"/>
          <w:pgNumType w:fmt="decimal"/>
          <w:cols w:space="720" w:num="1"/>
        </w:sectPr>
      </w:pPr>
    </w:p>
    <w:p w14:paraId="700DF0AD">
      <w:pPr>
        <w:pStyle w:val="23"/>
        <w:ind w:left="0" w:leftChars="0" w:firstLine="0" w:firstLineChars="0"/>
        <w:rPr>
          <w:rFonts w:ascii="宋体" w:hAnsi="宋体" w:cs="宋体"/>
          <w:b/>
          <w:bCs/>
          <w:color w:val="auto"/>
          <w:lang w:eastAsia="zh-CN"/>
        </w:rPr>
      </w:pPr>
    </w:p>
    <w:bookmarkEnd w:id="977"/>
    <w:bookmarkEnd w:id="978"/>
    <w:bookmarkEnd w:id="979"/>
    <w:bookmarkEnd w:id="980"/>
    <w:p w14:paraId="6FB8EAB3">
      <w:pPr>
        <w:pStyle w:val="5"/>
        <w:widowControl w:val="0"/>
        <w:kinsoku/>
        <w:autoSpaceDE/>
        <w:autoSpaceDN/>
        <w:spacing w:line="360" w:lineRule="auto"/>
        <w:textAlignment w:val="auto"/>
        <w:rPr>
          <w:rFonts w:ascii="宋体" w:hAnsi="宋体" w:cs="宋体"/>
          <w:bCs w:val="0"/>
          <w:color w:val="auto"/>
          <w:sz w:val="28"/>
          <w:szCs w:val="28"/>
          <w:lang w:eastAsia="zh-CN"/>
        </w:rPr>
      </w:pPr>
      <w:bookmarkStart w:id="982" w:name="_Toc2912"/>
      <w:bookmarkStart w:id="983" w:name="_Toc11042"/>
      <w:r>
        <w:rPr>
          <w:rFonts w:hint="eastAsia" w:ascii="宋体" w:hAnsi="宋体" w:cs="宋体"/>
          <w:bCs w:val="0"/>
          <w:color w:val="auto"/>
          <w:sz w:val="28"/>
          <w:szCs w:val="28"/>
          <w:lang w:eastAsia="zh-CN"/>
        </w:rPr>
        <w:t>第六章  竞争性磋商响应文件格式</w:t>
      </w:r>
      <w:bookmarkEnd w:id="982"/>
      <w:bookmarkEnd w:id="983"/>
    </w:p>
    <w:p w14:paraId="0739BB57">
      <w:pPr>
        <w:spacing w:line="400" w:lineRule="exact"/>
        <w:ind w:firstLine="420"/>
        <w:rPr>
          <w:rFonts w:ascii="宋体" w:hAnsi="宋体" w:cs="宋体"/>
          <w:color w:val="auto"/>
          <w:lang w:eastAsia="zh-CN"/>
        </w:rPr>
      </w:pPr>
    </w:p>
    <w:p w14:paraId="27C12152">
      <w:pPr>
        <w:spacing w:line="440" w:lineRule="exact"/>
        <w:ind w:firstLine="480"/>
        <w:jc w:val="right"/>
        <w:rPr>
          <w:rFonts w:ascii="宋体" w:hAnsi="宋体" w:cs="宋体"/>
          <w:color w:val="auto"/>
          <w:sz w:val="24"/>
          <w:bdr w:val="single" w:color="auto" w:sz="4" w:space="0"/>
          <w:lang w:eastAsia="zh-CN"/>
        </w:rPr>
      </w:pPr>
    </w:p>
    <w:p w14:paraId="10352E83">
      <w:pPr>
        <w:spacing w:line="440" w:lineRule="exact"/>
        <w:ind w:firstLine="480"/>
        <w:rPr>
          <w:rFonts w:ascii="宋体" w:hAnsi="宋体" w:cs="宋体"/>
          <w:color w:val="auto"/>
          <w:sz w:val="24"/>
          <w:lang w:eastAsia="zh-CN"/>
        </w:rPr>
      </w:pPr>
    </w:p>
    <w:p w14:paraId="40BE2D96">
      <w:pPr>
        <w:ind w:firstLine="602"/>
        <w:jc w:val="center"/>
        <w:rPr>
          <w:rFonts w:ascii="宋体" w:hAnsi="宋体" w:cs="宋体"/>
          <w:b/>
          <w:bCs/>
          <w:color w:val="auto"/>
          <w:sz w:val="30"/>
          <w:szCs w:val="30"/>
          <w:lang w:eastAsia="zh-CN"/>
        </w:rPr>
      </w:pPr>
      <w:r>
        <w:rPr>
          <w:rFonts w:hint="eastAsia" w:ascii="宋体" w:hAnsi="宋体" w:cs="宋体"/>
          <w:b/>
          <w:bCs/>
          <w:color w:val="auto"/>
          <w:sz w:val="30"/>
          <w:szCs w:val="30"/>
          <w:u w:val="single"/>
          <w:lang w:eastAsia="zh-CN"/>
        </w:rPr>
        <w:t xml:space="preserve">                     </w:t>
      </w:r>
      <w:r>
        <w:rPr>
          <w:rFonts w:hint="eastAsia" w:ascii="宋体" w:hAnsi="宋体" w:cs="宋体"/>
          <w:b/>
          <w:bCs/>
          <w:color w:val="auto"/>
          <w:sz w:val="30"/>
          <w:szCs w:val="30"/>
          <w:lang w:eastAsia="zh-CN"/>
        </w:rPr>
        <w:t>（项目名称）竞争性磋商</w:t>
      </w:r>
    </w:p>
    <w:p w14:paraId="6F1C64AB">
      <w:pPr>
        <w:ind w:firstLine="560"/>
        <w:jc w:val="center"/>
        <w:rPr>
          <w:rFonts w:ascii="宋体" w:hAnsi="宋体" w:cs="宋体"/>
          <w:color w:val="auto"/>
          <w:sz w:val="28"/>
          <w:szCs w:val="28"/>
          <w:lang w:eastAsia="zh-CN"/>
        </w:rPr>
      </w:pPr>
    </w:p>
    <w:p w14:paraId="73BCE076">
      <w:pPr>
        <w:ind w:firstLine="560"/>
        <w:jc w:val="center"/>
        <w:rPr>
          <w:rFonts w:ascii="宋体" w:hAnsi="宋体" w:cs="宋体"/>
          <w:color w:val="auto"/>
          <w:sz w:val="28"/>
          <w:szCs w:val="28"/>
          <w:lang w:eastAsia="zh-CN"/>
        </w:rPr>
      </w:pPr>
    </w:p>
    <w:p w14:paraId="7A4E4FEB">
      <w:pPr>
        <w:ind w:firstLine="1124"/>
        <w:jc w:val="center"/>
        <w:rPr>
          <w:rFonts w:ascii="宋体" w:hAnsi="宋体" w:cs="宋体"/>
          <w:color w:val="auto"/>
          <w:sz w:val="56"/>
          <w:szCs w:val="72"/>
          <w:lang w:eastAsia="zh-CN"/>
        </w:rPr>
      </w:pPr>
      <w:r>
        <w:rPr>
          <w:rFonts w:hint="eastAsia" w:ascii="宋体" w:hAnsi="宋体" w:cs="宋体"/>
          <w:b/>
          <w:bCs/>
          <w:color w:val="auto"/>
          <w:sz w:val="56"/>
          <w:szCs w:val="72"/>
          <w:lang w:eastAsia="zh-CN"/>
        </w:rPr>
        <w:t>响 应 文 件</w:t>
      </w:r>
    </w:p>
    <w:p w14:paraId="76A3F480">
      <w:pPr>
        <w:spacing w:line="400" w:lineRule="exact"/>
        <w:ind w:firstLine="560"/>
        <w:rPr>
          <w:rFonts w:ascii="宋体" w:hAnsi="宋体" w:cs="宋体"/>
          <w:color w:val="auto"/>
          <w:sz w:val="28"/>
          <w:szCs w:val="28"/>
          <w:lang w:eastAsia="zh-CN"/>
        </w:rPr>
      </w:pPr>
    </w:p>
    <w:p w14:paraId="403FEF25">
      <w:pPr>
        <w:spacing w:line="400" w:lineRule="exact"/>
        <w:ind w:firstLine="560"/>
        <w:rPr>
          <w:rFonts w:ascii="宋体" w:hAnsi="宋体" w:cs="宋体"/>
          <w:color w:val="auto"/>
          <w:sz w:val="28"/>
          <w:szCs w:val="28"/>
          <w:lang w:eastAsia="zh-CN"/>
        </w:rPr>
      </w:pPr>
    </w:p>
    <w:p w14:paraId="5FF81408">
      <w:pPr>
        <w:spacing w:line="400" w:lineRule="exact"/>
        <w:ind w:firstLine="560"/>
        <w:rPr>
          <w:rFonts w:ascii="宋体" w:hAnsi="宋体" w:cs="宋体"/>
          <w:color w:val="auto"/>
          <w:sz w:val="28"/>
          <w:szCs w:val="28"/>
          <w:lang w:eastAsia="zh-CN"/>
        </w:rPr>
      </w:pPr>
    </w:p>
    <w:p w14:paraId="3A4D34B2">
      <w:pPr>
        <w:spacing w:line="400" w:lineRule="exact"/>
        <w:ind w:firstLine="560"/>
        <w:rPr>
          <w:rFonts w:ascii="宋体" w:hAnsi="宋体" w:cs="宋体"/>
          <w:color w:val="auto"/>
          <w:sz w:val="28"/>
          <w:szCs w:val="28"/>
          <w:lang w:eastAsia="zh-CN"/>
        </w:rPr>
      </w:pPr>
    </w:p>
    <w:p w14:paraId="537E02C7">
      <w:pPr>
        <w:spacing w:line="400" w:lineRule="exact"/>
        <w:ind w:firstLine="560"/>
        <w:rPr>
          <w:rFonts w:ascii="宋体" w:hAnsi="宋体" w:cs="宋体"/>
          <w:color w:val="auto"/>
          <w:sz w:val="28"/>
          <w:szCs w:val="28"/>
          <w:lang w:eastAsia="zh-CN"/>
        </w:rPr>
      </w:pPr>
    </w:p>
    <w:p w14:paraId="7794E955">
      <w:pPr>
        <w:spacing w:line="400" w:lineRule="exact"/>
        <w:ind w:firstLine="560"/>
        <w:rPr>
          <w:rFonts w:ascii="宋体" w:hAnsi="宋体" w:cs="宋体"/>
          <w:color w:val="auto"/>
          <w:sz w:val="28"/>
          <w:szCs w:val="28"/>
          <w:lang w:eastAsia="zh-CN"/>
        </w:rPr>
      </w:pPr>
    </w:p>
    <w:p w14:paraId="5A9DA218">
      <w:pPr>
        <w:spacing w:line="400" w:lineRule="exact"/>
        <w:ind w:firstLine="560"/>
        <w:rPr>
          <w:rFonts w:ascii="宋体" w:hAnsi="宋体" w:cs="宋体"/>
          <w:color w:val="auto"/>
          <w:sz w:val="28"/>
          <w:szCs w:val="28"/>
          <w:lang w:eastAsia="zh-CN"/>
        </w:rPr>
      </w:pPr>
    </w:p>
    <w:p w14:paraId="7475BB46">
      <w:pPr>
        <w:spacing w:line="400" w:lineRule="exact"/>
        <w:ind w:firstLine="560"/>
        <w:rPr>
          <w:rFonts w:ascii="宋体" w:hAnsi="宋体" w:cs="宋体"/>
          <w:color w:val="auto"/>
          <w:sz w:val="28"/>
          <w:szCs w:val="28"/>
          <w:lang w:eastAsia="zh-CN"/>
        </w:rPr>
      </w:pPr>
    </w:p>
    <w:p w14:paraId="10FE34AB">
      <w:pPr>
        <w:spacing w:line="400" w:lineRule="exact"/>
        <w:ind w:firstLine="560"/>
        <w:rPr>
          <w:rFonts w:ascii="宋体" w:hAnsi="宋体" w:cs="宋体"/>
          <w:color w:val="auto"/>
          <w:sz w:val="28"/>
          <w:szCs w:val="28"/>
          <w:lang w:eastAsia="zh-CN"/>
        </w:rPr>
      </w:pPr>
    </w:p>
    <w:p w14:paraId="58BF0B6E">
      <w:pPr>
        <w:spacing w:line="400" w:lineRule="exact"/>
        <w:ind w:firstLine="560"/>
        <w:rPr>
          <w:rFonts w:ascii="宋体" w:hAnsi="宋体" w:cs="宋体"/>
          <w:color w:val="auto"/>
          <w:sz w:val="28"/>
          <w:szCs w:val="28"/>
          <w:lang w:eastAsia="zh-CN"/>
        </w:rPr>
      </w:pPr>
    </w:p>
    <w:p w14:paraId="07B6C868">
      <w:pPr>
        <w:spacing w:line="400" w:lineRule="exact"/>
        <w:ind w:firstLine="560"/>
        <w:rPr>
          <w:rFonts w:ascii="宋体" w:hAnsi="宋体" w:cs="宋体"/>
          <w:color w:val="auto"/>
          <w:sz w:val="28"/>
          <w:szCs w:val="28"/>
          <w:lang w:eastAsia="zh-CN"/>
        </w:rPr>
      </w:pPr>
    </w:p>
    <w:p w14:paraId="316266D3">
      <w:pPr>
        <w:pStyle w:val="3"/>
        <w:ind w:firstLine="560"/>
        <w:rPr>
          <w:rFonts w:ascii="宋体" w:hAnsi="宋体" w:cs="宋体"/>
          <w:color w:val="auto"/>
          <w:sz w:val="28"/>
          <w:szCs w:val="28"/>
          <w:lang w:eastAsia="zh-CN"/>
        </w:rPr>
      </w:pPr>
    </w:p>
    <w:p w14:paraId="164A65E4">
      <w:pPr>
        <w:spacing w:line="400" w:lineRule="exact"/>
        <w:ind w:firstLine="560"/>
        <w:rPr>
          <w:rFonts w:ascii="宋体" w:hAnsi="宋体" w:cs="宋体"/>
          <w:color w:val="auto"/>
          <w:sz w:val="28"/>
          <w:szCs w:val="28"/>
          <w:lang w:eastAsia="zh-CN"/>
        </w:rPr>
      </w:pPr>
    </w:p>
    <w:p w14:paraId="667233CF">
      <w:pPr>
        <w:spacing w:line="400" w:lineRule="exact"/>
        <w:ind w:firstLine="560"/>
        <w:rPr>
          <w:rFonts w:ascii="宋体" w:hAnsi="宋体" w:cs="宋体"/>
          <w:color w:val="auto"/>
          <w:sz w:val="28"/>
          <w:szCs w:val="28"/>
          <w:lang w:eastAsia="zh-CN"/>
        </w:rPr>
      </w:pPr>
    </w:p>
    <w:p w14:paraId="21C9498C">
      <w:pPr>
        <w:spacing w:line="480" w:lineRule="auto"/>
        <w:ind w:firstLine="480"/>
        <w:jc w:val="center"/>
        <w:rPr>
          <w:rFonts w:ascii="宋体" w:hAnsi="宋体" w:cs="宋体"/>
          <w:color w:val="auto"/>
          <w:sz w:val="24"/>
          <w:lang w:eastAsia="zh-CN"/>
        </w:rPr>
      </w:pPr>
      <w:r>
        <w:rPr>
          <w:rFonts w:hint="eastAsia" w:ascii="宋体" w:hAnsi="宋体" w:cs="宋体"/>
          <w:color w:val="auto"/>
          <w:sz w:val="24"/>
          <w:lang w:eastAsia="zh-CN"/>
        </w:rPr>
        <w:t>供应商：</w:t>
      </w:r>
      <w:r>
        <w:rPr>
          <w:rFonts w:hint="eastAsia" w:ascii="宋体" w:hAnsi="宋体" w:cs="宋体"/>
          <w:color w:val="auto"/>
          <w:sz w:val="24"/>
          <w:u w:val="single"/>
          <w:lang w:eastAsia="zh-CN"/>
        </w:rPr>
        <w:t xml:space="preserve">                             </w:t>
      </w:r>
      <w:r>
        <w:rPr>
          <w:rFonts w:hint="eastAsia" w:ascii="宋体" w:hAnsi="宋体" w:cs="宋体"/>
          <w:color w:val="auto"/>
          <w:sz w:val="24"/>
          <w:lang w:eastAsia="zh-CN"/>
        </w:rPr>
        <w:t xml:space="preserve"> （单位电子签章）</w:t>
      </w:r>
    </w:p>
    <w:p w14:paraId="45936F7C">
      <w:pPr>
        <w:spacing w:line="480" w:lineRule="auto"/>
        <w:ind w:firstLine="480"/>
        <w:jc w:val="center"/>
        <w:rPr>
          <w:rFonts w:ascii="宋体" w:hAnsi="宋体" w:cs="宋体"/>
          <w:color w:val="auto"/>
          <w:sz w:val="24"/>
          <w:lang w:eastAsia="zh-CN"/>
        </w:rPr>
      </w:pPr>
      <w:r>
        <w:rPr>
          <w:rFonts w:hint="eastAsia" w:ascii="宋体" w:hAnsi="宋体" w:cs="宋体"/>
          <w:color w:val="auto"/>
          <w:sz w:val="24"/>
          <w:lang w:eastAsia="zh-CN"/>
        </w:rPr>
        <w:t>法定代表人或其委托代理人：</w:t>
      </w:r>
      <w:r>
        <w:rPr>
          <w:rFonts w:hint="eastAsia" w:ascii="宋体" w:hAnsi="宋体" w:cs="宋体"/>
          <w:color w:val="auto"/>
          <w:sz w:val="24"/>
          <w:u w:val="single"/>
          <w:lang w:eastAsia="zh-CN"/>
        </w:rPr>
        <w:t xml:space="preserve">                </w:t>
      </w:r>
      <w:r>
        <w:rPr>
          <w:rFonts w:hint="eastAsia" w:ascii="宋体" w:hAnsi="宋体" w:cs="宋体"/>
          <w:color w:val="auto"/>
          <w:sz w:val="24"/>
          <w:lang w:eastAsia="zh-CN"/>
        </w:rPr>
        <w:t>（电子签名或电子签章）</w:t>
      </w:r>
    </w:p>
    <w:p w14:paraId="5246F76D">
      <w:pPr>
        <w:spacing w:line="480" w:lineRule="auto"/>
        <w:ind w:firstLine="480"/>
        <w:jc w:val="center"/>
        <w:rPr>
          <w:rFonts w:ascii="宋体" w:hAnsi="宋体" w:cs="宋体"/>
          <w:color w:val="auto"/>
          <w:sz w:val="24"/>
          <w:lang w:eastAsia="zh-CN"/>
        </w:rPr>
      </w:pPr>
      <w:r>
        <w:rPr>
          <w:rFonts w:hint="eastAsia" w:ascii="宋体" w:hAnsi="宋体" w:cs="宋体"/>
          <w:color w:val="auto"/>
          <w:sz w:val="24"/>
          <w:u w:val="single"/>
          <w:lang w:eastAsia="zh-CN"/>
        </w:rPr>
        <w:t xml:space="preserve">        </w:t>
      </w:r>
      <w:r>
        <w:rPr>
          <w:rFonts w:hint="eastAsia" w:ascii="宋体" w:hAnsi="宋体" w:cs="宋体"/>
          <w:color w:val="auto"/>
          <w:sz w:val="24"/>
          <w:lang w:eastAsia="zh-CN"/>
        </w:rPr>
        <w:t>年</w:t>
      </w:r>
      <w:r>
        <w:rPr>
          <w:rFonts w:hint="eastAsia" w:ascii="宋体" w:hAnsi="宋体" w:cs="宋体"/>
          <w:color w:val="auto"/>
          <w:sz w:val="24"/>
          <w:u w:val="single"/>
          <w:lang w:eastAsia="zh-CN"/>
        </w:rPr>
        <w:t xml:space="preserve">        </w:t>
      </w:r>
      <w:r>
        <w:rPr>
          <w:rFonts w:hint="eastAsia" w:ascii="宋体" w:hAnsi="宋体" w:cs="宋体"/>
          <w:color w:val="auto"/>
          <w:sz w:val="24"/>
          <w:lang w:eastAsia="zh-CN"/>
        </w:rPr>
        <w:t>月</w:t>
      </w:r>
      <w:r>
        <w:rPr>
          <w:rFonts w:hint="eastAsia" w:ascii="宋体" w:hAnsi="宋体" w:cs="宋体"/>
          <w:color w:val="auto"/>
          <w:sz w:val="24"/>
          <w:u w:val="single"/>
          <w:lang w:eastAsia="zh-CN"/>
        </w:rPr>
        <w:t xml:space="preserve">        </w:t>
      </w:r>
      <w:r>
        <w:rPr>
          <w:rFonts w:hint="eastAsia" w:ascii="宋体" w:hAnsi="宋体" w:cs="宋体"/>
          <w:color w:val="auto"/>
          <w:sz w:val="24"/>
          <w:lang w:eastAsia="zh-CN"/>
        </w:rPr>
        <w:t>日</w:t>
      </w:r>
      <w:bookmarkStart w:id="984" w:name="_Toc20198"/>
      <w:bookmarkStart w:id="985" w:name="_Toc152042576"/>
      <w:bookmarkStart w:id="986" w:name="_Toc152045787"/>
      <w:bookmarkStart w:id="987" w:name="_Toc466298157"/>
      <w:bookmarkStart w:id="988" w:name="_Toc144974856"/>
      <w:bookmarkStart w:id="989" w:name="_Toc8978"/>
    </w:p>
    <w:p w14:paraId="2185797B">
      <w:pPr>
        <w:pStyle w:val="2"/>
        <w:ind w:firstLine="210"/>
        <w:rPr>
          <w:color w:val="auto"/>
          <w:lang w:eastAsia="zh-CN"/>
        </w:rPr>
      </w:pPr>
    </w:p>
    <w:p w14:paraId="6CDF92F6">
      <w:pPr>
        <w:pStyle w:val="33"/>
        <w:ind w:firstLine="640" w:firstLineChars="0"/>
        <w:jc w:val="center"/>
        <w:outlineLvl w:val="9"/>
        <w:rPr>
          <w:rFonts w:ascii="宋体" w:hAnsi="宋体"/>
          <w:color w:val="auto"/>
          <w:sz w:val="32"/>
          <w:szCs w:val="32"/>
          <w:lang w:eastAsia="zh-CN"/>
        </w:rPr>
      </w:pPr>
      <w:r>
        <w:rPr>
          <w:rFonts w:ascii="宋体" w:hAnsi="宋体"/>
          <w:color w:val="auto"/>
          <w:sz w:val="32"/>
          <w:szCs w:val="32"/>
          <w:lang w:eastAsia="zh-CN"/>
        </w:rPr>
        <w:br w:type="page"/>
      </w:r>
      <w:bookmarkStart w:id="990" w:name="_Toc15422"/>
      <w:bookmarkStart w:id="991" w:name="_Toc16397"/>
      <w:r>
        <w:rPr>
          <w:rFonts w:hint="eastAsia" w:ascii="宋体" w:hAnsi="宋体"/>
          <w:color w:val="auto"/>
          <w:sz w:val="32"/>
          <w:szCs w:val="32"/>
          <w:lang w:eastAsia="zh-CN"/>
        </w:rPr>
        <w:t>目    录</w:t>
      </w:r>
      <w:bookmarkEnd w:id="984"/>
      <w:bookmarkEnd w:id="985"/>
      <w:bookmarkEnd w:id="986"/>
      <w:bookmarkEnd w:id="987"/>
      <w:bookmarkEnd w:id="988"/>
      <w:bookmarkEnd w:id="989"/>
      <w:bookmarkEnd w:id="990"/>
      <w:bookmarkEnd w:id="991"/>
    </w:p>
    <w:p w14:paraId="057C0E81">
      <w:pPr>
        <w:spacing w:line="540" w:lineRule="exact"/>
        <w:ind w:firstLine="480"/>
        <w:rPr>
          <w:rFonts w:ascii="宋体" w:hAnsi="宋体" w:cs="宋体"/>
          <w:color w:val="auto"/>
          <w:sz w:val="24"/>
          <w:szCs w:val="32"/>
          <w:lang w:eastAsia="zh-CN"/>
        </w:rPr>
      </w:pPr>
    </w:p>
    <w:p w14:paraId="24BB16DD">
      <w:pPr>
        <w:spacing w:line="540" w:lineRule="exact"/>
        <w:ind w:firstLine="420"/>
        <w:rPr>
          <w:rFonts w:ascii="宋体" w:hAnsi="宋体" w:cs="宋体"/>
          <w:color w:val="auto"/>
          <w:lang w:eastAsia="zh-CN"/>
        </w:rPr>
      </w:pPr>
      <w:r>
        <w:rPr>
          <w:rFonts w:hint="eastAsia" w:ascii="宋体" w:hAnsi="宋体" w:cs="宋体"/>
          <w:color w:val="auto"/>
          <w:lang w:eastAsia="zh-CN"/>
        </w:rPr>
        <w:t xml:space="preserve">一、响应函及响应函附录 </w:t>
      </w:r>
    </w:p>
    <w:p w14:paraId="7633B4A4">
      <w:pPr>
        <w:spacing w:line="540" w:lineRule="exact"/>
        <w:ind w:firstLine="420"/>
        <w:rPr>
          <w:rFonts w:ascii="宋体" w:hAnsi="宋体" w:cs="宋体"/>
          <w:color w:val="auto"/>
          <w:lang w:eastAsia="zh-CN"/>
        </w:rPr>
      </w:pPr>
      <w:r>
        <w:rPr>
          <w:rFonts w:hint="eastAsia" w:ascii="宋体" w:hAnsi="宋体" w:cs="宋体"/>
          <w:color w:val="auto"/>
          <w:lang w:eastAsia="zh-CN"/>
        </w:rPr>
        <w:t>二、法定代表人身份证明</w:t>
      </w:r>
    </w:p>
    <w:p w14:paraId="3F634324">
      <w:pPr>
        <w:spacing w:line="540" w:lineRule="exact"/>
        <w:ind w:firstLine="420"/>
        <w:rPr>
          <w:rFonts w:ascii="宋体" w:hAnsi="宋体" w:cs="宋体"/>
          <w:color w:val="auto"/>
          <w:lang w:eastAsia="zh-CN"/>
        </w:rPr>
      </w:pPr>
      <w:r>
        <w:rPr>
          <w:rFonts w:hint="eastAsia" w:ascii="宋体" w:hAnsi="宋体" w:cs="宋体"/>
          <w:color w:val="auto"/>
          <w:lang w:eastAsia="zh-CN"/>
        </w:rPr>
        <w:t>三、授权委托书</w:t>
      </w:r>
    </w:p>
    <w:p w14:paraId="7BA0BD4F">
      <w:pPr>
        <w:spacing w:line="540" w:lineRule="exact"/>
        <w:ind w:firstLine="420"/>
        <w:rPr>
          <w:rFonts w:ascii="宋体" w:hAnsi="宋体" w:cs="宋体"/>
          <w:color w:val="auto"/>
          <w:lang w:eastAsia="zh-CN"/>
        </w:rPr>
      </w:pPr>
      <w:r>
        <w:rPr>
          <w:rFonts w:hint="eastAsia" w:ascii="宋体" w:hAnsi="宋体" w:cs="宋体"/>
          <w:color w:val="auto"/>
          <w:lang w:eastAsia="zh-CN"/>
        </w:rPr>
        <w:t>四、分项报价表</w:t>
      </w:r>
    </w:p>
    <w:p w14:paraId="2CAB9130">
      <w:pPr>
        <w:spacing w:line="540" w:lineRule="exact"/>
        <w:ind w:firstLine="420"/>
        <w:rPr>
          <w:rFonts w:ascii="宋体" w:hAnsi="宋体" w:cs="宋体"/>
          <w:color w:val="auto"/>
          <w:lang w:eastAsia="zh-CN"/>
        </w:rPr>
      </w:pPr>
      <w:r>
        <w:rPr>
          <w:rFonts w:hint="eastAsia" w:ascii="宋体" w:hAnsi="宋体" w:cs="宋体"/>
          <w:color w:val="auto"/>
          <w:lang w:eastAsia="zh-CN"/>
        </w:rPr>
        <w:t>五、商务偏差表</w:t>
      </w:r>
    </w:p>
    <w:p w14:paraId="2ACA03FD">
      <w:pPr>
        <w:spacing w:line="540" w:lineRule="exact"/>
        <w:ind w:firstLine="420"/>
        <w:rPr>
          <w:rFonts w:ascii="宋体" w:hAnsi="宋体" w:cs="宋体"/>
          <w:color w:val="auto"/>
          <w:lang w:eastAsia="zh-CN"/>
        </w:rPr>
      </w:pPr>
      <w:r>
        <w:rPr>
          <w:rFonts w:hint="eastAsia" w:ascii="宋体" w:hAnsi="宋体" w:cs="宋体"/>
          <w:color w:val="auto"/>
          <w:lang w:eastAsia="zh-CN"/>
        </w:rPr>
        <w:t>六、采购需求及技术要求承诺函</w:t>
      </w:r>
    </w:p>
    <w:p w14:paraId="5DC06A22">
      <w:pPr>
        <w:spacing w:line="540" w:lineRule="exact"/>
        <w:ind w:firstLine="420"/>
        <w:rPr>
          <w:rFonts w:ascii="宋体" w:hAnsi="宋体" w:cs="宋体"/>
          <w:color w:val="auto"/>
          <w:lang w:eastAsia="zh-CN"/>
        </w:rPr>
      </w:pPr>
      <w:r>
        <w:rPr>
          <w:rFonts w:hint="eastAsia" w:ascii="宋体" w:hAnsi="宋体" w:cs="宋体"/>
          <w:color w:val="auto"/>
          <w:lang w:eastAsia="zh-CN"/>
        </w:rPr>
        <w:t>七、技术服务方案</w:t>
      </w:r>
    </w:p>
    <w:p w14:paraId="6979D367">
      <w:pPr>
        <w:spacing w:line="540" w:lineRule="exact"/>
        <w:ind w:firstLine="420"/>
        <w:rPr>
          <w:rFonts w:ascii="宋体" w:hAnsi="宋体" w:cs="宋体"/>
          <w:color w:val="auto"/>
          <w:lang w:eastAsia="zh-CN"/>
        </w:rPr>
      </w:pPr>
      <w:r>
        <w:rPr>
          <w:rFonts w:hint="eastAsia" w:ascii="宋体" w:hAnsi="宋体" w:cs="宋体"/>
          <w:color w:val="auto"/>
          <w:lang w:eastAsia="zh-CN"/>
        </w:rPr>
        <w:t>八、服务承诺</w:t>
      </w:r>
    </w:p>
    <w:p w14:paraId="7D2FE4BE">
      <w:pPr>
        <w:spacing w:line="540" w:lineRule="exact"/>
        <w:ind w:firstLine="420"/>
        <w:rPr>
          <w:rFonts w:ascii="宋体" w:hAnsi="宋体" w:cs="宋体"/>
          <w:color w:val="auto"/>
          <w:lang w:eastAsia="zh-CN"/>
        </w:rPr>
      </w:pPr>
      <w:r>
        <w:rPr>
          <w:rFonts w:hint="eastAsia" w:ascii="宋体" w:hAnsi="宋体" w:cs="宋体"/>
          <w:color w:val="auto"/>
          <w:lang w:eastAsia="zh-CN"/>
        </w:rPr>
        <w:t>九、资格审查资料</w:t>
      </w:r>
    </w:p>
    <w:p w14:paraId="445F1220">
      <w:pPr>
        <w:spacing w:line="540" w:lineRule="exact"/>
        <w:ind w:firstLine="420"/>
        <w:rPr>
          <w:rFonts w:ascii="宋体" w:hAnsi="宋体" w:cs="宋体"/>
          <w:color w:val="auto"/>
          <w:lang w:eastAsia="zh-CN"/>
        </w:rPr>
      </w:pPr>
      <w:r>
        <w:rPr>
          <w:rFonts w:hint="eastAsia" w:ascii="宋体" w:hAnsi="宋体" w:cs="宋体"/>
          <w:color w:val="auto"/>
          <w:lang w:eastAsia="zh-CN"/>
        </w:rPr>
        <w:t>十、中小企业声明函(服务)</w:t>
      </w:r>
    </w:p>
    <w:p w14:paraId="44F08A00">
      <w:pPr>
        <w:spacing w:line="540" w:lineRule="exact"/>
        <w:ind w:firstLine="420"/>
        <w:rPr>
          <w:rFonts w:ascii="宋体" w:hAnsi="宋体" w:cs="宋体"/>
          <w:color w:val="auto"/>
          <w:lang w:eastAsia="zh-CN"/>
        </w:rPr>
      </w:pPr>
      <w:r>
        <w:rPr>
          <w:rFonts w:hint="eastAsia" w:ascii="宋体" w:hAnsi="宋体" w:cs="宋体"/>
          <w:color w:val="auto"/>
          <w:lang w:eastAsia="zh-CN"/>
        </w:rPr>
        <w:t>十一、残疾人福利性单位声明函(如有)</w:t>
      </w:r>
    </w:p>
    <w:p w14:paraId="7D959282">
      <w:pPr>
        <w:spacing w:line="540" w:lineRule="exact"/>
        <w:ind w:firstLine="420"/>
        <w:rPr>
          <w:rFonts w:ascii="宋体" w:hAnsi="宋体" w:cs="宋体"/>
          <w:color w:val="auto"/>
          <w:lang w:eastAsia="zh-CN"/>
        </w:rPr>
      </w:pPr>
      <w:r>
        <w:rPr>
          <w:rFonts w:hint="eastAsia" w:ascii="宋体" w:hAnsi="宋体" w:cs="宋体"/>
          <w:color w:val="auto"/>
          <w:lang w:eastAsia="zh-CN"/>
        </w:rPr>
        <w:t>十二、监狱企业证明文件（如有）</w:t>
      </w:r>
    </w:p>
    <w:p w14:paraId="5FA33C8A">
      <w:pPr>
        <w:spacing w:line="540" w:lineRule="exact"/>
        <w:ind w:firstLine="420"/>
        <w:rPr>
          <w:rFonts w:ascii="宋体" w:hAnsi="宋体" w:cs="宋体"/>
          <w:color w:val="auto"/>
          <w:lang w:eastAsia="zh-CN"/>
        </w:rPr>
      </w:pPr>
      <w:r>
        <w:rPr>
          <w:rFonts w:hint="eastAsia" w:ascii="宋体" w:hAnsi="宋体" w:cs="宋体"/>
          <w:color w:val="auto"/>
          <w:lang w:eastAsia="zh-CN"/>
        </w:rPr>
        <w:t>十三、反商业贿赂承诺书</w:t>
      </w:r>
    </w:p>
    <w:p w14:paraId="437D68B7">
      <w:pPr>
        <w:spacing w:line="540" w:lineRule="exact"/>
        <w:ind w:firstLine="420"/>
        <w:rPr>
          <w:rFonts w:ascii="宋体" w:hAnsi="宋体" w:cs="宋体"/>
          <w:color w:val="auto"/>
          <w:lang w:eastAsia="zh-CN"/>
        </w:rPr>
      </w:pPr>
      <w:r>
        <w:rPr>
          <w:rFonts w:hint="eastAsia" w:ascii="宋体" w:hAnsi="宋体" w:cs="宋体"/>
          <w:color w:val="auto"/>
          <w:lang w:eastAsia="zh-CN"/>
        </w:rPr>
        <w:t>十四、其他材料</w:t>
      </w:r>
    </w:p>
    <w:p w14:paraId="2AE7FB8A">
      <w:pPr>
        <w:spacing w:line="540" w:lineRule="exact"/>
        <w:ind w:firstLine="420"/>
        <w:rPr>
          <w:rFonts w:ascii="宋体" w:hAnsi="宋体" w:cs="宋体"/>
          <w:color w:val="auto"/>
          <w:lang w:eastAsia="zh-CN"/>
        </w:rPr>
      </w:pPr>
    </w:p>
    <w:p w14:paraId="190D0382">
      <w:pPr>
        <w:spacing w:line="540" w:lineRule="exact"/>
        <w:ind w:firstLine="420"/>
        <w:rPr>
          <w:rFonts w:ascii="宋体" w:hAnsi="宋体" w:cs="宋体"/>
          <w:color w:val="auto"/>
          <w:lang w:eastAsia="zh-CN"/>
        </w:rPr>
      </w:pPr>
    </w:p>
    <w:p w14:paraId="361430AC">
      <w:pPr>
        <w:spacing w:line="540" w:lineRule="exact"/>
        <w:ind w:firstLine="420"/>
        <w:rPr>
          <w:rFonts w:ascii="宋体" w:hAnsi="宋体" w:cs="宋体"/>
          <w:color w:val="auto"/>
          <w:lang w:eastAsia="zh-CN"/>
        </w:rPr>
      </w:pPr>
    </w:p>
    <w:p w14:paraId="07265605">
      <w:pPr>
        <w:spacing w:line="540" w:lineRule="exact"/>
        <w:ind w:firstLine="420"/>
        <w:rPr>
          <w:rFonts w:ascii="宋体" w:hAnsi="宋体" w:cs="宋体"/>
          <w:color w:val="auto"/>
          <w:lang w:eastAsia="zh-CN"/>
        </w:rPr>
      </w:pPr>
    </w:p>
    <w:p w14:paraId="35D5B9DE">
      <w:pPr>
        <w:pStyle w:val="33"/>
        <w:jc w:val="center"/>
        <w:outlineLvl w:val="9"/>
        <w:rPr>
          <w:rFonts w:ascii="宋体" w:hAnsi="宋体"/>
          <w:b/>
          <w:color w:val="auto"/>
          <w:szCs w:val="28"/>
          <w:lang w:eastAsia="zh-CN"/>
        </w:rPr>
      </w:pPr>
      <w:bookmarkStart w:id="992" w:name="_Toc152045788"/>
      <w:bookmarkStart w:id="993" w:name="_Toc144974857"/>
      <w:bookmarkStart w:id="994" w:name="_Toc152042577"/>
      <w:bookmarkStart w:id="995" w:name="_Toc8095"/>
      <w:bookmarkStart w:id="996" w:name="_Toc9911"/>
      <w:bookmarkStart w:id="997" w:name="_Toc466298158"/>
      <w:r>
        <w:rPr>
          <w:rFonts w:ascii="宋体" w:hAnsi="宋体"/>
          <w:b/>
          <w:color w:val="auto"/>
          <w:szCs w:val="28"/>
          <w:lang w:eastAsia="zh-CN"/>
        </w:rPr>
        <w:br w:type="page"/>
      </w:r>
      <w:bookmarkStart w:id="998" w:name="_Toc6597"/>
      <w:bookmarkStart w:id="999" w:name="_Toc12601"/>
      <w:r>
        <w:rPr>
          <w:rStyle w:val="39"/>
          <w:b/>
          <w:color w:val="auto"/>
          <w:lang w:eastAsia="zh-CN"/>
        </w:rPr>
        <w:t>一、</w:t>
      </w:r>
      <w:r>
        <w:rPr>
          <w:rStyle w:val="39"/>
          <w:rFonts w:hint="eastAsia"/>
          <w:b/>
          <w:color w:val="auto"/>
          <w:lang w:eastAsia="zh-CN"/>
        </w:rPr>
        <w:t>响应函及</w:t>
      </w:r>
      <w:bookmarkEnd w:id="992"/>
      <w:bookmarkEnd w:id="993"/>
      <w:bookmarkEnd w:id="994"/>
      <w:r>
        <w:rPr>
          <w:rStyle w:val="39"/>
          <w:rFonts w:hint="eastAsia"/>
          <w:b/>
          <w:color w:val="auto"/>
          <w:lang w:eastAsia="zh-CN"/>
        </w:rPr>
        <w:t>响应函附录</w:t>
      </w:r>
      <w:bookmarkEnd w:id="995"/>
      <w:bookmarkEnd w:id="996"/>
      <w:bookmarkEnd w:id="997"/>
      <w:bookmarkEnd w:id="998"/>
      <w:bookmarkEnd w:id="999"/>
    </w:p>
    <w:p w14:paraId="5722992C">
      <w:pPr>
        <w:pStyle w:val="37"/>
        <w:jc w:val="center"/>
        <w:outlineLvl w:val="9"/>
        <w:rPr>
          <w:rFonts w:ascii="宋体" w:hAnsi="宋体" w:eastAsia="宋体"/>
          <w:b/>
          <w:color w:val="auto"/>
          <w:szCs w:val="23"/>
          <w:lang w:eastAsia="zh-CN"/>
        </w:rPr>
      </w:pPr>
      <w:bookmarkStart w:id="1000" w:name="_Toc5968"/>
      <w:bookmarkStart w:id="1001" w:name="_Toc14030"/>
      <w:r>
        <w:rPr>
          <w:rFonts w:hint="eastAsia" w:ascii="宋体" w:hAnsi="宋体" w:eastAsia="宋体"/>
          <w:b/>
          <w:color w:val="auto"/>
          <w:szCs w:val="23"/>
          <w:lang w:eastAsia="zh-CN"/>
        </w:rPr>
        <w:t>（一）响应函</w:t>
      </w:r>
      <w:bookmarkEnd w:id="1000"/>
      <w:bookmarkEnd w:id="1001"/>
    </w:p>
    <w:p w14:paraId="4AB5A282">
      <w:pPr>
        <w:pStyle w:val="12"/>
        <w:spacing w:line="420" w:lineRule="exact"/>
        <w:ind w:left="98" w:leftChars="0" w:hanging="98" w:hangingChars="47"/>
        <w:rPr>
          <w:rFonts w:ascii="宋体" w:hAnsi="宋体"/>
          <w:color w:val="auto"/>
          <w:szCs w:val="21"/>
          <w:lang w:eastAsia="zh-CN"/>
        </w:rPr>
      </w:pPr>
      <w:bookmarkStart w:id="1002" w:name="_Toc447888814"/>
      <w:bookmarkStart w:id="1003" w:name="_Toc466298160"/>
      <w:bookmarkStart w:id="1004" w:name="_Toc490667893"/>
      <w:bookmarkStart w:id="1005" w:name="_Toc19056"/>
      <w:r>
        <w:rPr>
          <w:rFonts w:hint="eastAsia" w:ascii="宋体" w:hAnsi="宋体"/>
          <w:color w:val="auto"/>
          <w:szCs w:val="21"/>
          <w:lang w:eastAsia="zh-CN"/>
        </w:rPr>
        <w:t>致 ：</w:t>
      </w:r>
      <w:r>
        <w:rPr>
          <w:rFonts w:hint="eastAsia" w:ascii="宋体" w:hAnsi="宋体"/>
          <w:color w:val="auto"/>
          <w:szCs w:val="21"/>
          <w:u w:val="single"/>
          <w:lang w:eastAsia="zh-CN"/>
        </w:rPr>
        <w:t>（采购人）</w:t>
      </w:r>
    </w:p>
    <w:p w14:paraId="7332A06B">
      <w:pPr>
        <w:pStyle w:val="12"/>
        <w:spacing w:line="420" w:lineRule="exact"/>
        <w:ind w:left="1" w:leftChars="0" w:firstLine="420" w:firstLineChars="200"/>
        <w:rPr>
          <w:rFonts w:ascii="宋体" w:hAnsi="宋体"/>
          <w:color w:val="auto"/>
          <w:szCs w:val="21"/>
          <w:lang w:eastAsia="zh-CN"/>
        </w:rPr>
      </w:pPr>
      <w:r>
        <w:rPr>
          <w:rFonts w:ascii="宋体" w:hAnsi="宋体"/>
          <w:color w:val="auto"/>
          <w:szCs w:val="21"/>
          <w:lang w:eastAsia="zh-CN"/>
        </w:rPr>
        <w:t>1</w:t>
      </w:r>
      <w:r>
        <w:rPr>
          <w:rFonts w:hint="eastAsia" w:ascii="宋体" w:hAnsi="宋体"/>
          <w:color w:val="auto"/>
          <w:szCs w:val="21"/>
          <w:lang w:eastAsia="zh-CN"/>
        </w:rPr>
        <w:t>．根据已收到的</w:t>
      </w:r>
      <w:r>
        <w:rPr>
          <w:rFonts w:hint="eastAsia" w:ascii="宋体" w:hAnsi="宋体"/>
          <w:color w:val="auto"/>
          <w:szCs w:val="21"/>
          <w:u w:val="single"/>
          <w:lang w:eastAsia="zh-CN"/>
        </w:rPr>
        <w:t xml:space="preserve">          （项目名称</w:t>
      </w:r>
      <w:r>
        <w:rPr>
          <w:rFonts w:ascii="宋体" w:hAnsi="宋体"/>
          <w:color w:val="auto"/>
          <w:szCs w:val="21"/>
          <w:u w:val="single"/>
          <w:lang w:eastAsia="zh-CN"/>
        </w:rPr>
        <w:t>）</w:t>
      </w:r>
      <w:r>
        <w:rPr>
          <w:rFonts w:hint="eastAsia" w:ascii="宋体" w:hAnsi="宋体"/>
          <w:color w:val="auto"/>
          <w:szCs w:val="21"/>
          <w:lang w:eastAsia="zh-CN"/>
        </w:rPr>
        <w:t>的竞争性磋商文件，遵照《中华人民共和国政府采购法》等有关规定，经考察和认真研究本项目竞争性磋商文件及其它有关文件后，愿以人民币（大写</w:t>
      </w:r>
      <w:r>
        <w:rPr>
          <w:rFonts w:hint="eastAsia" w:ascii="宋体" w:hAnsi="宋体"/>
          <w:color w:val="auto"/>
          <w:szCs w:val="21"/>
          <w:u w:val="single"/>
          <w:lang w:eastAsia="zh-CN"/>
        </w:rPr>
        <w:t xml:space="preserve">）               </w:t>
      </w:r>
      <w:r>
        <w:rPr>
          <w:rFonts w:hint="eastAsia" w:ascii="宋体" w:hAnsi="宋体"/>
          <w:color w:val="auto"/>
          <w:szCs w:val="21"/>
          <w:lang w:eastAsia="zh-CN"/>
        </w:rPr>
        <w:t>（￥</w:t>
      </w:r>
      <w:r>
        <w:rPr>
          <w:rFonts w:hint="eastAsia" w:ascii="宋体" w:hAnsi="宋体"/>
          <w:color w:val="auto"/>
          <w:szCs w:val="21"/>
          <w:u w:val="single"/>
          <w:lang w:eastAsia="zh-CN"/>
        </w:rPr>
        <w:t xml:space="preserve">      </w:t>
      </w:r>
      <w:r>
        <w:rPr>
          <w:rFonts w:hint="eastAsia" w:ascii="宋体" w:hAnsi="宋体"/>
          <w:color w:val="auto"/>
          <w:szCs w:val="21"/>
          <w:lang w:eastAsia="zh-CN"/>
        </w:rPr>
        <w:t>）的磋商总报价作为第一次磋商报价，按合同约定实施和完成本项目，并承担其任何质量缺陷等问题所造成的任何损失。</w:t>
      </w:r>
    </w:p>
    <w:p w14:paraId="7EC8F99E">
      <w:pPr>
        <w:pStyle w:val="12"/>
        <w:spacing w:line="420" w:lineRule="exact"/>
        <w:ind w:left="1" w:leftChars="0" w:firstLine="420" w:firstLineChars="200"/>
        <w:rPr>
          <w:rFonts w:ascii="宋体" w:hAnsi="宋体"/>
          <w:color w:val="auto"/>
          <w:szCs w:val="21"/>
          <w:lang w:eastAsia="zh-CN"/>
        </w:rPr>
      </w:pPr>
      <w:r>
        <w:rPr>
          <w:rFonts w:ascii="宋体" w:hAnsi="宋体"/>
          <w:color w:val="auto"/>
          <w:szCs w:val="21"/>
          <w:lang w:eastAsia="zh-CN"/>
        </w:rPr>
        <w:t>2</w:t>
      </w:r>
      <w:r>
        <w:rPr>
          <w:rFonts w:hint="eastAsia" w:ascii="宋体" w:hAnsi="宋体"/>
          <w:color w:val="auto"/>
          <w:szCs w:val="21"/>
          <w:lang w:eastAsia="zh-CN"/>
        </w:rPr>
        <w:t>．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70651F9E">
      <w:pPr>
        <w:pStyle w:val="12"/>
        <w:spacing w:line="420" w:lineRule="exact"/>
        <w:ind w:left="1" w:leftChars="0" w:firstLine="420" w:firstLineChars="200"/>
        <w:rPr>
          <w:rFonts w:ascii="宋体" w:hAnsi="宋体"/>
          <w:color w:val="auto"/>
          <w:szCs w:val="21"/>
          <w:lang w:eastAsia="zh-CN"/>
        </w:rPr>
      </w:pPr>
      <w:r>
        <w:rPr>
          <w:rFonts w:ascii="宋体" w:hAnsi="宋体"/>
          <w:color w:val="auto"/>
          <w:szCs w:val="21"/>
          <w:lang w:eastAsia="zh-CN"/>
        </w:rPr>
        <w:t>3</w:t>
      </w:r>
      <w:r>
        <w:rPr>
          <w:rFonts w:hint="eastAsia" w:ascii="宋体" w:hAnsi="宋体"/>
          <w:color w:val="auto"/>
          <w:szCs w:val="21"/>
          <w:lang w:eastAsia="zh-CN"/>
        </w:rPr>
        <w:t>．我方在此承诺，我方若能成交，保证在服务期限内，全面履行竞争性磋商文件中规定的职责和义务。</w:t>
      </w:r>
    </w:p>
    <w:p w14:paraId="4C86F261">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4．如果我方成交，我方保证按合同条款中规定的内容执行；我方保证质量达到国家及行业现行标准规范规定的合格要求，并按竞争性磋商文件和有关规定提交一切资料。</w:t>
      </w:r>
    </w:p>
    <w:p w14:paraId="41D75B14">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5．如果我方成交，我方将按照采购人规定提交履约保证金。</w:t>
      </w:r>
    </w:p>
    <w:p w14:paraId="13618398">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6．我方同意从响应文件递交截止日期起</w:t>
      </w:r>
      <w:r>
        <w:rPr>
          <w:rFonts w:hint="eastAsia" w:ascii="宋体" w:hAnsi="宋体"/>
          <w:color w:val="auto"/>
          <w:szCs w:val="21"/>
          <w:u w:val="single"/>
          <w:lang w:eastAsia="zh-CN"/>
        </w:rPr>
        <w:t xml:space="preserve">  60  </w:t>
      </w:r>
      <w:r>
        <w:rPr>
          <w:rFonts w:hint="eastAsia" w:ascii="宋体" w:hAnsi="宋体"/>
          <w:color w:val="auto"/>
          <w:szCs w:val="21"/>
          <w:lang w:eastAsia="zh-CN"/>
        </w:rPr>
        <w:t>日历天内保持响应文件有效，在此有效期内，我方将严格遵守响应文件的承诺，本响应文件对我方具有约束力，并可随时被接受成交。</w:t>
      </w:r>
    </w:p>
    <w:p w14:paraId="4F2208E5">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7．除响应文件所提交的资料外，我方同意随时接受贵方的检查、询问，并根据磋商需要补充贵方要求提交的资料。</w:t>
      </w:r>
    </w:p>
    <w:p w14:paraId="106D80E7">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8．如果我方成交后，我方没有任何正当理由而拒签合同，同时我方愿意补偿该项工作因我方延误所造成的经济损失。</w:t>
      </w:r>
    </w:p>
    <w:p w14:paraId="34C6B46F">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9．我方愿接受合同条款中规定的合同价款计算和调整方式。</w:t>
      </w:r>
    </w:p>
    <w:p w14:paraId="4ECB39F2">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10．除非另外达成协议并生效，贵方的成交通知书和本响应文件将成为约束我方的合同文件组成部分。</w:t>
      </w:r>
    </w:p>
    <w:p w14:paraId="0164C401">
      <w:pPr>
        <w:pStyle w:val="12"/>
        <w:spacing w:line="420" w:lineRule="exact"/>
        <w:ind w:left="1" w:leftChars="0" w:firstLine="420" w:firstLineChars="200"/>
        <w:rPr>
          <w:rFonts w:ascii="宋体" w:hAnsi="宋体"/>
          <w:color w:val="auto"/>
          <w:szCs w:val="21"/>
          <w:lang w:eastAsia="zh-CN"/>
        </w:rPr>
      </w:pPr>
    </w:p>
    <w:p w14:paraId="44CE78C0">
      <w:pPr>
        <w:pStyle w:val="12"/>
        <w:spacing w:line="420" w:lineRule="exact"/>
        <w:ind w:left="1" w:leftChars="0" w:firstLine="420" w:firstLineChars="200"/>
        <w:rPr>
          <w:rFonts w:ascii="宋体" w:hAnsi="宋体"/>
          <w:color w:val="auto"/>
          <w:szCs w:val="21"/>
          <w:lang w:eastAsia="zh-CN"/>
        </w:rPr>
      </w:pPr>
    </w:p>
    <w:p w14:paraId="4D14DBBC">
      <w:pPr>
        <w:pStyle w:val="12"/>
        <w:spacing w:line="420" w:lineRule="exact"/>
        <w:ind w:left="1" w:leftChars="0" w:firstLine="420" w:firstLineChars="200"/>
        <w:rPr>
          <w:rFonts w:ascii="宋体" w:hAnsi="宋体"/>
          <w:color w:val="auto"/>
          <w:szCs w:val="21"/>
          <w:lang w:eastAsia="zh-CN"/>
        </w:rPr>
      </w:pPr>
    </w:p>
    <w:p w14:paraId="4E36E9B3">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供应商：</w:t>
      </w:r>
      <w:r>
        <w:rPr>
          <w:rFonts w:hint="eastAsia" w:ascii="宋体" w:hAnsi="宋体"/>
          <w:color w:val="auto"/>
          <w:szCs w:val="21"/>
          <w:u w:val="single"/>
          <w:lang w:eastAsia="zh-CN"/>
        </w:rPr>
        <w:t xml:space="preserve">             </w:t>
      </w:r>
      <w:r>
        <w:rPr>
          <w:rFonts w:hint="eastAsia" w:ascii="宋体" w:hAnsi="宋体"/>
          <w:color w:val="auto"/>
          <w:szCs w:val="21"/>
          <w:lang w:eastAsia="zh-CN"/>
        </w:rPr>
        <w:t>（</w:t>
      </w:r>
      <w:r>
        <w:rPr>
          <w:rFonts w:hint="eastAsia" w:ascii="宋体" w:hAnsi="宋体" w:cs="宋体"/>
          <w:color w:val="auto"/>
          <w:szCs w:val="21"/>
          <w:lang w:eastAsia="zh-CN"/>
        </w:rPr>
        <w:t>单位电子签章</w:t>
      </w:r>
      <w:r>
        <w:rPr>
          <w:rFonts w:hint="eastAsia" w:ascii="宋体" w:hAnsi="宋体"/>
          <w:color w:val="auto"/>
          <w:szCs w:val="21"/>
          <w:lang w:eastAsia="zh-CN"/>
        </w:rPr>
        <w:t>）</w:t>
      </w:r>
    </w:p>
    <w:p w14:paraId="786CECAA">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法定代表人或委托代理人：</w:t>
      </w:r>
      <w:r>
        <w:rPr>
          <w:rFonts w:hint="eastAsia" w:ascii="宋体" w:hAnsi="宋体"/>
          <w:color w:val="auto"/>
          <w:szCs w:val="21"/>
          <w:u w:val="single"/>
          <w:lang w:eastAsia="zh-CN"/>
        </w:rPr>
        <w:t xml:space="preserve">         </w:t>
      </w:r>
      <w:r>
        <w:rPr>
          <w:rFonts w:hint="eastAsia" w:ascii="宋体" w:hAnsi="宋体"/>
          <w:color w:val="auto"/>
          <w:szCs w:val="21"/>
          <w:lang w:eastAsia="zh-CN"/>
        </w:rPr>
        <w:t>（电子签名或电子签章）</w:t>
      </w:r>
    </w:p>
    <w:p w14:paraId="1F4AEA3D">
      <w:pPr>
        <w:pStyle w:val="12"/>
        <w:spacing w:line="420" w:lineRule="exact"/>
        <w:ind w:left="1" w:leftChars="0" w:firstLine="420" w:firstLineChars="200"/>
        <w:rPr>
          <w:rFonts w:ascii="宋体" w:hAnsi="宋体"/>
          <w:color w:val="auto"/>
          <w:szCs w:val="21"/>
          <w:lang w:eastAsia="zh-CN"/>
        </w:rPr>
      </w:pPr>
      <w:r>
        <w:rPr>
          <w:rFonts w:hint="eastAsia" w:ascii="宋体" w:hAnsi="宋体"/>
          <w:color w:val="auto"/>
          <w:szCs w:val="21"/>
          <w:lang w:eastAsia="zh-CN"/>
        </w:rPr>
        <w:t>日期：     年    月    日</w:t>
      </w:r>
    </w:p>
    <w:p w14:paraId="3BD9226F">
      <w:pPr>
        <w:pStyle w:val="6"/>
        <w:numPr>
          <w:ilvl w:val="1"/>
          <w:numId w:val="0"/>
        </w:numPr>
        <w:ind w:left="0" w:leftChars="0" w:firstLine="0" w:firstLineChars="0"/>
        <w:jc w:val="center"/>
        <w:outlineLvl w:val="9"/>
        <w:rPr>
          <w:color w:val="auto"/>
          <w:sz w:val="28"/>
          <w:szCs w:val="28"/>
          <w:lang w:eastAsia="zh-CN"/>
        </w:rPr>
      </w:pPr>
      <w:bookmarkStart w:id="1006" w:name="_Toc11398"/>
      <w:bookmarkStart w:id="1007" w:name="_Toc18098"/>
      <w:bookmarkStart w:id="1008" w:name="_Toc16956"/>
      <w:r>
        <w:rPr>
          <w:rFonts w:hint="eastAsia"/>
          <w:color w:val="auto"/>
          <w:sz w:val="28"/>
          <w:szCs w:val="28"/>
          <w:lang w:eastAsia="zh-CN"/>
        </w:rPr>
        <w:t xml:space="preserve"> （二）</w:t>
      </w:r>
      <w:bookmarkEnd w:id="1002"/>
      <w:bookmarkEnd w:id="1003"/>
      <w:r>
        <w:rPr>
          <w:rFonts w:hint="eastAsia"/>
          <w:color w:val="auto"/>
          <w:sz w:val="28"/>
          <w:szCs w:val="28"/>
          <w:lang w:eastAsia="zh-CN"/>
        </w:rPr>
        <w:t>响应函附录</w:t>
      </w:r>
      <w:bookmarkEnd w:id="1004"/>
      <w:bookmarkEnd w:id="1005"/>
      <w:bookmarkEnd w:id="1006"/>
      <w:bookmarkEnd w:id="1007"/>
      <w:bookmarkEnd w:id="1008"/>
    </w:p>
    <w:tbl>
      <w:tblPr>
        <w:tblStyle w:val="2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868"/>
        <w:gridCol w:w="3219"/>
      </w:tblGrid>
      <w:tr w14:paraId="683F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504FD7DB">
            <w:pPr>
              <w:jc w:val="center"/>
              <w:rPr>
                <w:rFonts w:ascii="宋体" w:hAnsi="宋体"/>
                <w:color w:val="auto"/>
              </w:rPr>
            </w:pPr>
            <w:r>
              <w:rPr>
                <w:rFonts w:hint="eastAsia" w:ascii="宋体" w:hAnsi="宋体"/>
                <w:color w:val="auto"/>
              </w:rPr>
              <w:t>项目名称</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53F76529">
            <w:pPr>
              <w:ind w:firstLine="420"/>
              <w:jc w:val="center"/>
              <w:rPr>
                <w:rFonts w:ascii="宋体" w:hAnsi="宋体"/>
                <w:color w:val="auto"/>
              </w:rPr>
            </w:pPr>
          </w:p>
        </w:tc>
      </w:tr>
      <w:tr w14:paraId="5804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75C94F9D">
            <w:pPr>
              <w:jc w:val="center"/>
              <w:rPr>
                <w:rFonts w:ascii="宋体" w:hAnsi="宋体"/>
                <w:color w:val="auto"/>
              </w:rPr>
            </w:pPr>
            <w:r>
              <w:rPr>
                <w:rFonts w:hint="eastAsia" w:ascii="宋体" w:hAnsi="宋体"/>
                <w:color w:val="auto"/>
              </w:rPr>
              <w:t>供应商</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1FD52AB6">
            <w:pPr>
              <w:ind w:firstLine="420"/>
              <w:jc w:val="center"/>
              <w:rPr>
                <w:rFonts w:ascii="宋体" w:hAnsi="宋体"/>
                <w:color w:val="auto"/>
              </w:rPr>
            </w:pPr>
          </w:p>
        </w:tc>
      </w:tr>
      <w:tr w14:paraId="771F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restart"/>
            <w:tcBorders>
              <w:top w:val="single" w:color="auto" w:sz="4" w:space="0"/>
              <w:left w:val="single" w:color="auto" w:sz="4" w:space="0"/>
              <w:right w:val="single" w:color="auto" w:sz="4" w:space="0"/>
            </w:tcBorders>
            <w:vAlign w:val="center"/>
          </w:tcPr>
          <w:p w14:paraId="324356C7">
            <w:pPr>
              <w:spacing w:line="360" w:lineRule="exact"/>
              <w:jc w:val="center"/>
              <w:rPr>
                <w:rFonts w:ascii="宋体" w:hAnsi="宋体"/>
                <w:color w:val="auto"/>
              </w:rPr>
            </w:pPr>
            <w:r>
              <w:rPr>
                <w:rFonts w:hint="eastAsia" w:ascii="宋体" w:hAnsi="宋体"/>
                <w:color w:val="auto"/>
              </w:rPr>
              <w:t>投标报价（元）</w:t>
            </w:r>
          </w:p>
        </w:tc>
        <w:tc>
          <w:tcPr>
            <w:tcW w:w="2868" w:type="dxa"/>
            <w:tcBorders>
              <w:top w:val="single" w:color="auto" w:sz="4" w:space="0"/>
              <w:left w:val="single" w:color="auto" w:sz="4" w:space="0"/>
              <w:bottom w:val="single" w:color="auto" w:sz="4" w:space="0"/>
              <w:right w:val="single" w:color="auto" w:sz="4" w:space="0"/>
            </w:tcBorders>
            <w:vAlign w:val="center"/>
          </w:tcPr>
          <w:p w14:paraId="4AE6AECD">
            <w:pPr>
              <w:jc w:val="center"/>
              <w:rPr>
                <w:rFonts w:ascii="宋体" w:hAnsi="宋体"/>
                <w:color w:val="auto"/>
              </w:rPr>
            </w:pPr>
            <w:r>
              <w:rPr>
                <w:rFonts w:hint="eastAsia" w:ascii="宋体" w:hAnsi="宋体"/>
                <w:color w:val="auto"/>
              </w:rPr>
              <w:t>（大写）</w:t>
            </w:r>
          </w:p>
        </w:tc>
        <w:tc>
          <w:tcPr>
            <w:tcW w:w="3219" w:type="dxa"/>
            <w:tcBorders>
              <w:top w:val="single" w:color="auto" w:sz="4" w:space="0"/>
              <w:left w:val="single" w:color="auto" w:sz="4" w:space="0"/>
              <w:bottom w:val="single" w:color="auto" w:sz="4" w:space="0"/>
              <w:right w:val="single" w:color="auto" w:sz="4" w:space="0"/>
            </w:tcBorders>
            <w:vAlign w:val="center"/>
          </w:tcPr>
          <w:p w14:paraId="43F70F13">
            <w:pPr>
              <w:jc w:val="center"/>
              <w:rPr>
                <w:rFonts w:ascii="宋体" w:hAnsi="宋体"/>
                <w:color w:val="auto"/>
              </w:rPr>
            </w:pPr>
            <w:r>
              <w:rPr>
                <w:rFonts w:hint="eastAsia" w:ascii="宋体" w:hAnsi="宋体"/>
                <w:color w:val="auto"/>
              </w:rPr>
              <w:t>（小写）</w:t>
            </w:r>
          </w:p>
        </w:tc>
      </w:tr>
      <w:tr w14:paraId="2F56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continue"/>
            <w:tcBorders>
              <w:left w:val="single" w:color="auto" w:sz="4" w:space="0"/>
              <w:bottom w:val="single" w:color="auto" w:sz="4" w:space="0"/>
              <w:right w:val="single" w:color="auto" w:sz="4" w:space="0"/>
            </w:tcBorders>
            <w:vAlign w:val="center"/>
          </w:tcPr>
          <w:p w14:paraId="038FA836">
            <w:pPr>
              <w:spacing w:line="360" w:lineRule="exact"/>
              <w:ind w:firstLine="420"/>
              <w:jc w:val="center"/>
              <w:rPr>
                <w:rFonts w:ascii="宋体" w:hAnsi="宋体"/>
                <w:color w:val="auto"/>
              </w:rPr>
            </w:pP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0DA2A2DC">
            <w:pPr>
              <w:jc w:val="center"/>
              <w:rPr>
                <w:rFonts w:ascii="宋体" w:hAnsi="宋体"/>
                <w:color w:val="auto"/>
                <w:lang w:eastAsia="zh-CN"/>
              </w:rPr>
            </w:pPr>
            <w:r>
              <w:rPr>
                <w:rFonts w:hint="eastAsia" w:ascii="宋体" w:hAnsi="宋体"/>
                <w:b/>
                <w:bCs/>
                <w:color w:val="auto"/>
                <w:lang w:eastAsia="zh-CN"/>
              </w:rPr>
              <w:t>（供应商应在此填列第一次报价，但以供应商最后一次的磋商报价为成交价）</w:t>
            </w:r>
          </w:p>
        </w:tc>
      </w:tr>
      <w:tr w14:paraId="5F59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1BD5F8E5">
            <w:pPr>
              <w:jc w:val="center"/>
              <w:rPr>
                <w:rFonts w:ascii="宋体" w:hAnsi="宋体"/>
                <w:color w:val="auto"/>
              </w:rPr>
            </w:pPr>
            <w:r>
              <w:rPr>
                <w:rFonts w:hint="eastAsia" w:ascii="宋体" w:hAnsi="宋体"/>
                <w:color w:val="auto"/>
              </w:rPr>
              <w:t>质量要求</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38471C38">
            <w:pPr>
              <w:ind w:firstLine="420"/>
              <w:jc w:val="center"/>
              <w:rPr>
                <w:rFonts w:ascii="宋体" w:hAnsi="宋体"/>
                <w:color w:val="auto"/>
              </w:rPr>
            </w:pPr>
          </w:p>
        </w:tc>
      </w:tr>
      <w:tr w14:paraId="5363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2C9D9D1D">
            <w:pPr>
              <w:jc w:val="center"/>
              <w:rPr>
                <w:rFonts w:ascii="宋体" w:hAnsi="宋体" w:eastAsia="宋体"/>
                <w:color w:val="auto"/>
                <w:lang w:eastAsia="zh-CN"/>
              </w:rPr>
            </w:pPr>
            <w:r>
              <w:rPr>
                <w:rFonts w:hint="eastAsia" w:ascii="宋体" w:hAnsi="宋体"/>
                <w:color w:val="auto"/>
                <w:lang w:eastAsia="zh-CN"/>
              </w:rPr>
              <w:t>服务期限</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702AFBA8">
            <w:pPr>
              <w:ind w:firstLine="420"/>
              <w:jc w:val="center"/>
              <w:rPr>
                <w:rFonts w:ascii="宋体" w:hAnsi="宋体"/>
                <w:color w:val="auto"/>
              </w:rPr>
            </w:pPr>
          </w:p>
        </w:tc>
      </w:tr>
      <w:tr w14:paraId="3180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365715BC">
            <w:pPr>
              <w:jc w:val="center"/>
              <w:rPr>
                <w:rFonts w:ascii="宋体" w:hAnsi="宋体"/>
                <w:color w:val="auto"/>
              </w:rPr>
            </w:pPr>
            <w:r>
              <w:rPr>
                <w:rFonts w:hint="eastAsia" w:ascii="宋体" w:hAnsi="宋体"/>
                <w:color w:val="auto"/>
              </w:rPr>
              <w:t>磋商有效期</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2E75BDF0">
            <w:pPr>
              <w:ind w:firstLine="420"/>
              <w:jc w:val="center"/>
              <w:rPr>
                <w:rFonts w:ascii="宋体" w:hAnsi="宋体"/>
                <w:color w:val="auto"/>
              </w:rPr>
            </w:pPr>
          </w:p>
        </w:tc>
      </w:tr>
      <w:tr w14:paraId="4A96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2306D810">
            <w:pPr>
              <w:jc w:val="center"/>
              <w:rPr>
                <w:rFonts w:ascii="宋体" w:hAnsi="宋体" w:eastAsia="宋体"/>
                <w:color w:val="auto"/>
                <w:lang w:eastAsia="zh-CN"/>
              </w:rPr>
            </w:pPr>
            <w:r>
              <w:rPr>
                <w:rFonts w:hint="eastAsia" w:ascii="宋体" w:hAnsi="宋体"/>
                <w:color w:val="auto"/>
                <w:lang w:eastAsia="zh-CN"/>
              </w:rPr>
              <w:t>备注</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32F8690D">
            <w:pPr>
              <w:ind w:firstLine="420"/>
              <w:jc w:val="center"/>
              <w:rPr>
                <w:rFonts w:ascii="宋体" w:hAnsi="宋体"/>
                <w:color w:val="auto"/>
              </w:rPr>
            </w:pPr>
          </w:p>
        </w:tc>
      </w:tr>
    </w:tbl>
    <w:p w14:paraId="2F1DBA86">
      <w:pPr>
        <w:ind w:firstLine="420"/>
        <w:rPr>
          <w:rFonts w:ascii="宋体" w:hAnsi="宋体"/>
          <w:color w:val="auto"/>
        </w:rPr>
      </w:pPr>
    </w:p>
    <w:p w14:paraId="1127A036">
      <w:pPr>
        <w:ind w:firstLine="420"/>
        <w:rPr>
          <w:rFonts w:ascii="宋体" w:hAnsi="宋体"/>
          <w:color w:val="auto"/>
        </w:rPr>
      </w:pPr>
    </w:p>
    <w:p w14:paraId="59F59E65">
      <w:pPr>
        <w:spacing w:line="360" w:lineRule="auto"/>
        <w:ind w:firstLine="420"/>
        <w:jc w:val="right"/>
        <w:rPr>
          <w:rFonts w:ascii="宋体" w:hAnsi="宋体"/>
          <w:color w:val="auto"/>
          <w:lang w:eastAsia="zh-CN"/>
        </w:rPr>
      </w:pPr>
      <w:r>
        <w:rPr>
          <w:rFonts w:hint="eastAsia" w:ascii="宋体" w:hAnsi="宋体"/>
          <w:color w:val="auto"/>
          <w:lang w:eastAsia="zh-CN"/>
        </w:rPr>
        <w:t>供应商法定代表人或其授权委托人(电子签名或</w:t>
      </w:r>
      <w:r>
        <w:rPr>
          <w:rFonts w:hint="eastAsia" w:ascii="宋体" w:hAnsi="宋体" w:cs="宋体"/>
          <w:color w:val="auto"/>
          <w:lang w:eastAsia="zh-CN"/>
        </w:rPr>
        <w:t>电子签章</w:t>
      </w:r>
      <w:r>
        <w:rPr>
          <w:rFonts w:hint="eastAsia" w:ascii="宋体" w:hAnsi="宋体"/>
          <w:color w:val="auto"/>
          <w:lang w:eastAsia="zh-CN"/>
        </w:rPr>
        <w:t>)</w:t>
      </w:r>
      <w:r>
        <w:rPr>
          <w:rFonts w:hint="eastAsia" w:ascii="宋体" w:hAnsi="宋体"/>
          <w:color w:val="auto"/>
          <w:u w:val="single"/>
          <w:lang w:eastAsia="zh-CN"/>
        </w:rPr>
        <w:t xml:space="preserve">                  </w:t>
      </w:r>
    </w:p>
    <w:p w14:paraId="4BA6A6C8">
      <w:pPr>
        <w:spacing w:line="360" w:lineRule="auto"/>
        <w:ind w:firstLine="3360" w:firstLineChars="1600"/>
        <w:jc w:val="right"/>
        <w:rPr>
          <w:rFonts w:ascii="宋体" w:hAnsi="宋体"/>
          <w:color w:val="auto"/>
          <w:lang w:eastAsia="zh-CN"/>
        </w:rPr>
      </w:pPr>
      <w:r>
        <w:rPr>
          <w:rFonts w:hint="eastAsia" w:ascii="宋体" w:hAnsi="宋体"/>
          <w:color w:val="auto"/>
          <w:lang w:eastAsia="zh-CN"/>
        </w:rPr>
        <w:t>供应商</w:t>
      </w:r>
      <w:r>
        <w:rPr>
          <w:rFonts w:ascii="宋体" w:hAnsi="宋体"/>
          <w:color w:val="auto"/>
          <w:lang w:eastAsia="zh-CN"/>
        </w:rPr>
        <w:t>(</w:t>
      </w:r>
      <w:r>
        <w:rPr>
          <w:rFonts w:hint="eastAsia" w:ascii="宋体" w:hAnsi="宋体" w:cs="宋体"/>
          <w:color w:val="auto"/>
          <w:lang w:eastAsia="zh-CN"/>
        </w:rPr>
        <w:t>单位电子签章</w:t>
      </w:r>
      <w:r>
        <w:rPr>
          <w:rFonts w:ascii="宋体" w:hAnsi="宋体"/>
          <w:color w:val="auto"/>
          <w:lang w:eastAsia="zh-CN"/>
        </w:rPr>
        <w:t>)</w:t>
      </w:r>
      <w:r>
        <w:rPr>
          <w:rFonts w:hint="eastAsia" w:ascii="宋体" w:hAnsi="宋体"/>
          <w:color w:val="auto"/>
          <w:lang w:eastAsia="zh-CN"/>
        </w:rPr>
        <w:t>：</w:t>
      </w:r>
      <w:r>
        <w:rPr>
          <w:rFonts w:ascii="宋体" w:hAnsi="宋体"/>
          <w:color w:val="auto"/>
          <w:lang w:eastAsia="zh-CN"/>
        </w:rPr>
        <w:tab/>
      </w:r>
      <w:r>
        <w:rPr>
          <w:rFonts w:ascii="宋体" w:hAnsi="宋体"/>
          <w:color w:val="auto"/>
          <w:lang w:eastAsia="zh-CN"/>
        </w:rPr>
        <w:t xml:space="preserve">            </w:t>
      </w:r>
      <w:r>
        <w:rPr>
          <w:rFonts w:hint="eastAsia" w:ascii="宋体" w:hAnsi="宋体"/>
          <w:color w:val="auto"/>
          <w:lang w:eastAsia="zh-CN"/>
        </w:rPr>
        <w:t xml:space="preserve">      </w:t>
      </w:r>
      <w:r>
        <w:rPr>
          <w:rFonts w:ascii="宋体" w:hAnsi="宋体"/>
          <w:color w:val="auto"/>
          <w:lang w:eastAsia="zh-CN"/>
        </w:rPr>
        <w:tab/>
      </w:r>
    </w:p>
    <w:p w14:paraId="4CFD30AF">
      <w:pPr>
        <w:spacing w:line="360" w:lineRule="auto"/>
        <w:ind w:firstLine="4620" w:firstLineChars="2200"/>
        <w:jc w:val="right"/>
        <w:rPr>
          <w:rFonts w:ascii="宋体" w:hAnsi="宋体"/>
          <w:color w:val="auto"/>
          <w:lang w:eastAsia="zh-CN"/>
        </w:rPr>
      </w:pPr>
      <w:r>
        <w:rPr>
          <w:rFonts w:hint="eastAsia" w:ascii="宋体" w:hAnsi="宋体"/>
          <w:color w:val="auto"/>
          <w:lang w:eastAsia="zh-CN"/>
        </w:rPr>
        <w:t xml:space="preserve">年   月   </w:t>
      </w:r>
      <w:bookmarkStart w:id="1009" w:name="_Toc152045791"/>
      <w:bookmarkStart w:id="1010" w:name="_Toc152042580"/>
      <w:bookmarkStart w:id="1011" w:name="_Toc287367268"/>
      <w:bookmarkStart w:id="1012" w:name="_Toc144974860"/>
      <w:r>
        <w:rPr>
          <w:rFonts w:hint="eastAsia" w:ascii="宋体" w:hAnsi="宋体"/>
          <w:color w:val="auto"/>
          <w:lang w:eastAsia="zh-CN"/>
        </w:rPr>
        <w:t>日</w:t>
      </w:r>
    </w:p>
    <w:p w14:paraId="788688E2">
      <w:pPr>
        <w:ind w:firstLine="420"/>
        <w:rPr>
          <w:color w:val="auto"/>
          <w:lang w:eastAsia="zh-CN"/>
        </w:rPr>
      </w:pPr>
    </w:p>
    <w:p w14:paraId="5C77FC27">
      <w:pPr>
        <w:pStyle w:val="33"/>
        <w:ind w:firstLine="562" w:firstLineChars="0"/>
        <w:jc w:val="center"/>
        <w:outlineLvl w:val="9"/>
        <w:rPr>
          <w:rFonts w:ascii="宋体" w:hAnsi="宋体"/>
          <w:b/>
          <w:color w:val="auto"/>
          <w:szCs w:val="28"/>
          <w:lang w:eastAsia="zh-CN"/>
        </w:rPr>
      </w:pPr>
      <w:bookmarkStart w:id="1013" w:name="_Toc31033"/>
      <w:bookmarkStart w:id="1014" w:name="_Toc29009"/>
      <w:bookmarkStart w:id="1015" w:name="_Toc25853"/>
      <w:bookmarkStart w:id="1016" w:name="_Toc466298161"/>
      <w:bookmarkStart w:id="1017" w:name="_Toc2481"/>
      <w:r>
        <w:rPr>
          <w:rStyle w:val="39"/>
          <w:rFonts w:hint="eastAsia"/>
          <w:b/>
          <w:color w:val="auto"/>
          <w:lang w:eastAsia="zh-CN"/>
        </w:rPr>
        <w:br w:type="page"/>
      </w:r>
      <w:r>
        <w:rPr>
          <w:rStyle w:val="39"/>
          <w:rFonts w:hint="eastAsia"/>
          <w:b/>
          <w:color w:val="auto"/>
          <w:lang w:eastAsia="zh-CN"/>
        </w:rPr>
        <w:t>二、</w:t>
      </w:r>
      <w:bookmarkEnd w:id="1009"/>
      <w:bookmarkEnd w:id="1010"/>
      <w:bookmarkEnd w:id="1011"/>
      <w:bookmarkEnd w:id="1012"/>
      <w:r>
        <w:rPr>
          <w:rStyle w:val="39"/>
          <w:rFonts w:hint="eastAsia"/>
          <w:b/>
          <w:color w:val="auto"/>
          <w:lang w:eastAsia="zh-CN"/>
        </w:rPr>
        <w:t>法定代表人身份证明</w:t>
      </w:r>
      <w:bookmarkEnd w:id="1013"/>
      <w:bookmarkEnd w:id="1014"/>
      <w:bookmarkEnd w:id="1015"/>
      <w:bookmarkEnd w:id="1016"/>
      <w:bookmarkEnd w:id="1017"/>
    </w:p>
    <w:p w14:paraId="607A412C">
      <w:pPr>
        <w:spacing w:line="440" w:lineRule="exact"/>
        <w:ind w:firstLine="420"/>
        <w:jc w:val="center"/>
        <w:rPr>
          <w:rFonts w:ascii="宋体" w:hAnsi="宋体" w:cs="宋体"/>
          <w:color w:val="auto"/>
          <w:lang w:eastAsia="zh-CN"/>
        </w:rPr>
      </w:pPr>
    </w:p>
    <w:p w14:paraId="6781AAE4">
      <w:pPr>
        <w:spacing w:line="440" w:lineRule="exact"/>
        <w:ind w:firstLine="420"/>
        <w:rPr>
          <w:rFonts w:ascii="宋体" w:hAnsi="宋体" w:cs="宋体"/>
          <w:color w:val="auto"/>
          <w:lang w:eastAsia="zh-CN"/>
        </w:rPr>
      </w:pPr>
      <w:r>
        <w:rPr>
          <w:rFonts w:hint="eastAsia" w:ascii="宋体" w:hAnsi="宋体" w:cs="宋体"/>
          <w:color w:val="auto"/>
          <w:lang w:eastAsia="zh-CN"/>
        </w:rPr>
        <w:t>供应商名称：</w:t>
      </w:r>
      <w:r>
        <w:rPr>
          <w:rFonts w:hint="eastAsia" w:ascii="宋体" w:hAnsi="宋体" w:cs="宋体"/>
          <w:color w:val="auto"/>
          <w:u w:val="single"/>
          <w:lang w:eastAsia="zh-CN"/>
        </w:rPr>
        <w:t xml:space="preserve">                             </w:t>
      </w:r>
      <w:r>
        <w:rPr>
          <w:rFonts w:hint="eastAsia" w:ascii="宋体" w:hAnsi="宋体" w:cs="宋体"/>
          <w:color w:val="auto"/>
          <w:lang w:eastAsia="zh-CN"/>
        </w:rPr>
        <w:t xml:space="preserve"> </w:t>
      </w:r>
    </w:p>
    <w:p w14:paraId="0A35BDCE">
      <w:pPr>
        <w:spacing w:line="440" w:lineRule="exact"/>
        <w:ind w:firstLine="420"/>
        <w:rPr>
          <w:rFonts w:ascii="宋体" w:hAnsi="宋体" w:cs="宋体"/>
          <w:color w:val="auto"/>
          <w:lang w:eastAsia="zh-CN"/>
        </w:rPr>
      </w:pPr>
      <w:r>
        <w:rPr>
          <w:rFonts w:hint="eastAsia" w:ascii="宋体" w:hAnsi="宋体" w:cs="宋体"/>
          <w:color w:val="auto"/>
          <w:lang w:eastAsia="zh-CN"/>
        </w:rPr>
        <w:t>单位性质：</w:t>
      </w:r>
      <w:r>
        <w:rPr>
          <w:rFonts w:hint="eastAsia" w:ascii="宋体" w:hAnsi="宋体" w:cs="宋体"/>
          <w:color w:val="auto"/>
          <w:u w:val="single"/>
          <w:lang w:eastAsia="zh-CN"/>
        </w:rPr>
        <w:t xml:space="preserve">                               </w:t>
      </w:r>
      <w:r>
        <w:rPr>
          <w:rFonts w:hint="eastAsia" w:ascii="宋体" w:hAnsi="宋体" w:cs="宋体"/>
          <w:color w:val="auto"/>
          <w:lang w:eastAsia="zh-CN"/>
        </w:rPr>
        <w:t xml:space="preserve"> </w:t>
      </w:r>
    </w:p>
    <w:p w14:paraId="6E5661C4">
      <w:pPr>
        <w:spacing w:line="440" w:lineRule="exact"/>
        <w:ind w:firstLine="420"/>
        <w:rPr>
          <w:rFonts w:ascii="宋体" w:hAnsi="宋体" w:cs="宋体"/>
          <w:color w:val="auto"/>
          <w:lang w:eastAsia="zh-CN"/>
        </w:rPr>
      </w:pPr>
      <w:r>
        <w:rPr>
          <w:rFonts w:hint="eastAsia" w:ascii="宋体" w:hAnsi="宋体" w:cs="宋体"/>
          <w:color w:val="auto"/>
          <w:lang w:eastAsia="zh-CN"/>
        </w:rPr>
        <w:t>地址：</w:t>
      </w:r>
      <w:r>
        <w:rPr>
          <w:rFonts w:hint="eastAsia" w:ascii="宋体" w:hAnsi="宋体" w:cs="宋体"/>
          <w:color w:val="auto"/>
          <w:u w:val="single"/>
          <w:lang w:eastAsia="zh-CN"/>
        </w:rPr>
        <w:t xml:space="preserve">                                   </w:t>
      </w:r>
    </w:p>
    <w:p w14:paraId="1F50332E">
      <w:pPr>
        <w:spacing w:line="440" w:lineRule="exact"/>
        <w:ind w:firstLine="420"/>
        <w:rPr>
          <w:rFonts w:ascii="宋体" w:hAnsi="宋体" w:cs="宋体"/>
          <w:color w:val="auto"/>
          <w:lang w:eastAsia="zh-CN"/>
        </w:rPr>
      </w:pPr>
      <w:r>
        <w:rPr>
          <w:rFonts w:hint="eastAsia" w:ascii="宋体" w:hAnsi="宋体" w:cs="宋体"/>
          <w:color w:val="auto"/>
          <w:lang w:eastAsia="zh-CN"/>
        </w:rPr>
        <w:t>成立时间：</w:t>
      </w:r>
      <w:r>
        <w:rPr>
          <w:rFonts w:hint="eastAsia" w:ascii="宋体" w:hAnsi="宋体" w:cs="宋体"/>
          <w:color w:val="auto"/>
          <w:u w:val="single"/>
          <w:lang w:eastAsia="zh-CN"/>
        </w:rPr>
        <w:t xml:space="preserve">         </w:t>
      </w:r>
      <w:r>
        <w:rPr>
          <w:rFonts w:hint="eastAsia" w:ascii="宋体" w:hAnsi="宋体" w:cs="宋体"/>
          <w:color w:val="auto"/>
          <w:lang w:eastAsia="zh-CN"/>
        </w:rPr>
        <w:t xml:space="preserve"> 年</w:t>
      </w:r>
      <w:r>
        <w:rPr>
          <w:rFonts w:hint="eastAsia" w:ascii="宋体" w:hAnsi="宋体" w:cs="宋体"/>
          <w:color w:val="auto"/>
          <w:u w:val="single"/>
          <w:lang w:eastAsia="zh-CN"/>
        </w:rPr>
        <w:t xml:space="preserve">        </w:t>
      </w:r>
      <w:r>
        <w:rPr>
          <w:rFonts w:hint="eastAsia" w:ascii="宋体" w:hAnsi="宋体" w:cs="宋体"/>
          <w:color w:val="auto"/>
          <w:lang w:eastAsia="zh-CN"/>
        </w:rPr>
        <w:t>月</w:t>
      </w:r>
      <w:r>
        <w:rPr>
          <w:rFonts w:hint="eastAsia" w:ascii="宋体" w:hAnsi="宋体" w:cs="宋体"/>
          <w:color w:val="auto"/>
          <w:u w:val="single"/>
          <w:lang w:eastAsia="zh-CN"/>
        </w:rPr>
        <w:t xml:space="preserve">        </w:t>
      </w:r>
      <w:r>
        <w:rPr>
          <w:rFonts w:hint="eastAsia" w:ascii="宋体" w:hAnsi="宋体" w:cs="宋体"/>
          <w:color w:val="auto"/>
          <w:lang w:eastAsia="zh-CN"/>
        </w:rPr>
        <w:t>日</w:t>
      </w:r>
    </w:p>
    <w:p w14:paraId="2E882E2F">
      <w:pPr>
        <w:spacing w:line="440" w:lineRule="exact"/>
        <w:ind w:firstLine="420"/>
        <w:rPr>
          <w:rFonts w:ascii="宋体" w:hAnsi="宋体" w:cs="宋体"/>
          <w:color w:val="auto"/>
          <w:lang w:eastAsia="zh-CN"/>
        </w:rPr>
      </w:pPr>
      <w:r>
        <w:rPr>
          <w:rFonts w:hint="eastAsia" w:ascii="宋体" w:hAnsi="宋体" w:cs="宋体"/>
          <w:color w:val="auto"/>
          <w:lang w:eastAsia="zh-CN"/>
        </w:rPr>
        <w:t>经营期限：</w:t>
      </w:r>
      <w:r>
        <w:rPr>
          <w:rFonts w:hint="eastAsia" w:ascii="宋体" w:hAnsi="宋体" w:cs="宋体"/>
          <w:color w:val="auto"/>
          <w:u w:val="single"/>
          <w:lang w:eastAsia="zh-CN"/>
        </w:rPr>
        <w:t xml:space="preserve">                               </w:t>
      </w:r>
    </w:p>
    <w:p w14:paraId="655728FB">
      <w:pPr>
        <w:spacing w:line="440" w:lineRule="exact"/>
        <w:ind w:firstLine="420"/>
        <w:rPr>
          <w:rFonts w:ascii="宋体" w:hAnsi="宋体" w:cs="宋体"/>
          <w:color w:val="auto"/>
          <w:lang w:eastAsia="zh-CN"/>
        </w:rPr>
      </w:pPr>
      <w:r>
        <w:rPr>
          <w:rFonts w:hint="eastAsia" w:ascii="宋体" w:hAnsi="宋体" w:cs="宋体"/>
          <w:color w:val="auto"/>
          <w:lang w:eastAsia="zh-CN"/>
        </w:rPr>
        <w:t>姓名：</w:t>
      </w:r>
      <w:r>
        <w:rPr>
          <w:rFonts w:hint="eastAsia" w:ascii="宋体" w:hAnsi="宋体" w:cs="宋体"/>
          <w:color w:val="auto"/>
          <w:u w:val="single"/>
          <w:lang w:eastAsia="zh-CN"/>
        </w:rPr>
        <w:t xml:space="preserve">        </w:t>
      </w:r>
      <w:r>
        <w:rPr>
          <w:rFonts w:hint="eastAsia" w:ascii="宋体" w:hAnsi="宋体" w:cs="宋体"/>
          <w:color w:val="auto"/>
          <w:lang w:eastAsia="zh-CN"/>
        </w:rPr>
        <w:t xml:space="preserve"> 性别：</w:t>
      </w:r>
      <w:r>
        <w:rPr>
          <w:rFonts w:hint="eastAsia" w:ascii="宋体" w:hAnsi="宋体" w:cs="宋体"/>
          <w:color w:val="auto"/>
          <w:u w:val="single"/>
          <w:lang w:eastAsia="zh-CN"/>
        </w:rPr>
        <w:t xml:space="preserve">         </w:t>
      </w:r>
      <w:r>
        <w:rPr>
          <w:rFonts w:hint="eastAsia" w:ascii="宋体" w:hAnsi="宋体" w:cs="宋体"/>
          <w:color w:val="auto"/>
          <w:lang w:eastAsia="zh-CN"/>
        </w:rPr>
        <w:t xml:space="preserve"> 年龄：</w:t>
      </w:r>
      <w:r>
        <w:rPr>
          <w:rFonts w:hint="eastAsia" w:ascii="宋体" w:hAnsi="宋体" w:cs="宋体"/>
          <w:color w:val="auto"/>
          <w:u w:val="single"/>
          <w:lang w:eastAsia="zh-CN"/>
        </w:rPr>
        <w:t xml:space="preserve">        </w:t>
      </w:r>
      <w:r>
        <w:rPr>
          <w:rFonts w:hint="eastAsia" w:ascii="宋体" w:hAnsi="宋体" w:cs="宋体"/>
          <w:color w:val="auto"/>
          <w:lang w:eastAsia="zh-CN"/>
        </w:rPr>
        <w:t>职务：</w:t>
      </w:r>
      <w:r>
        <w:rPr>
          <w:rFonts w:hint="eastAsia" w:ascii="宋体" w:hAnsi="宋体" w:cs="宋体"/>
          <w:color w:val="auto"/>
          <w:u w:val="single"/>
          <w:lang w:eastAsia="zh-CN"/>
        </w:rPr>
        <w:t xml:space="preserve">        </w:t>
      </w:r>
    </w:p>
    <w:p w14:paraId="2618579A">
      <w:pPr>
        <w:spacing w:line="440" w:lineRule="exact"/>
        <w:ind w:firstLine="420"/>
        <w:rPr>
          <w:rFonts w:ascii="宋体" w:hAnsi="宋体" w:cs="宋体"/>
          <w:color w:val="auto"/>
          <w:lang w:eastAsia="zh-CN"/>
        </w:rPr>
      </w:pPr>
      <w:r>
        <w:rPr>
          <w:rFonts w:hint="eastAsia" w:ascii="宋体" w:hAnsi="宋体" w:cs="宋体"/>
          <w:color w:val="auto"/>
          <w:lang w:eastAsia="zh-CN"/>
        </w:rPr>
        <w:t>系</w:t>
      </w:r>
      <w:r>
        <w:rPr>
          <w:rFonts w:hint="eastAsia" w:ascii="宋体" w:hAnsi="宋体" w:cs="宋体"/>
          <w:color w:val="auto"/>
          <w:u w:val="single"/>
          <w:lang w:eastAsia="zh-CN"/>
        </w:rPr>
        <w:t xml:space="preserve">                             </w:t>
      </w:r>
      <w:r>
        <w:rPr>
          <w:rFonts w:hint="eastAsia" w:ascii="宋体" w:hAnsi="宋体" w:cs="宋体"/>
          <w:color w:val="auto"/>
          <w:lang w:eastAsia="zh-CN"/>
        </w:rPr>
        <w:t xml:space="preserve"> （供应商名称）的法定代表人。</w:t>
      </w:r>
    </w:p>
    <w:p w14:paraId="12D99E4B">
      <w:pPr>
        <w:spacing w:line="440" w:lineRule="exact"/>
        <w:ind w:firstLine="420"/>
        <w:rPr>
          <w:rFonts w:ascii="宋体" w:hAnsi="宋体" w:cs="宋体"/>
          <w:color w:val="auto"/>
          <w:lang w:eastAsia="zh-CN"/>
        </w:rPr>
      </w:pPr>
      <w:r>
        <w:rPr>
          <w:rFonts w:hint="eastAsia" w:ascii="宋体" w:hAnsi="宋体" w:cs="宋体"/>
          <w:color w:val="auto"/>
          <w:lang w:eastAsia="zh-CN"/>
        </w:rPr>
        <w:t>特此证明。</w:t>
      </w:r>
    </w:p>
    <w:p w14:paraId="4FF212FC">
      <w:pPr>
        <w:spacing w:line="440" w:lineRule="exact"/>
        <w:ind w:firstLine="420"/>
        <w:rPr>
          <w:rFonts w:ascii="宋体" w:hAnsi="宋体" w:cs="宋体"/>
          <w:color w:val="auto"/>
          <w:lang w:eastAsia="zh-CN"/>
        </w:rPr>
      </w:pPr>
    </w:p>
    <w:p w14:paraId="683D4AA1">
      <w:pPr>
        <w:spacing w:line="440" w:lineRule="exact"/>
        <w:ind w:firstLine="420"/>
        <w:rPr>
          <w:rFonts w:ascii="宋体" w:hAnsi="宋体" w:cs="宋体"/>
          <w:color w:val="auto"/>
          <w:lang w:eastAsia="zh-CN"/>
        </w:rPr>
      </w:pPr>
    </w:p>
    <w:p w14:paraId="47EDA1B8">
      <w:pPr>
        <w:spacing w:line="440" w:lineRule="exact"/>
        <w:ind w:firstLine="420"/>
        <w:jc w:val="right"/>
        <w:rPr>
          <w:rFonts w:ascii="宋体" w:hAnsi="宋体" w:cs="宋体"/>
          <w:color w:val="auto"/>
          <w:lang w:eastAsia="zh-CN"/>
        </w:rPr>
      </w:pPr>
      <w:r>
        <w:rPr>
          <w:rFonts w:hint="eastAsia" w:ascii="宋体" w:hAnsi="宋体" w:cs="宋体"/>
          <w:color w:val="auto"/>
          <w:lang w:eastAsia="zh-CN"/>
        </w:rPr>
        <w:t xml:space="preserve">                          供应商：</w:t>
      </w:r>
      <w:r>
        <w:rPr>
          <w:rFonts w:hint="eastAsia" w:ascii="宋体" w:hAnsi="宋体" w:cs="宋体"/>
          <w:color w:val="auto"/>
          <w:u w:val="single"/>
          <w:lang w:eastAsia="zh-CN"/>
        </w:rPr>
        <w:t xml:space="preserve">                 </w:t>
      </w:r>
      <w:r>
        <w:rPr>
          <w:rFonts w:hint="eastAsia" w:ascii="宋体" w:hAnsi="宋体" w:cs="宋体"/>
          <w:color w:val="auto"/>
          <w:lang w:eastAsia="zh-CN"/>
        </w:rPr>
        <w:t>（单位电子签章）</w:t>
      </w:r>
    </w:p>
    <w:p w14:paraId="3A998871">
      <w:pPr>
        <w:spacing w:line="440" w:lineRule="exact"/>
        <w:ind w:firstLine="420"/>
        <w:jc w:val="right"/>
        <w:rPr>
          <w:rFonts w:ascii="宋体" w:hAnsi="宋体" w:cs="宋体"/>
          <w:color w:val="auto"/>
        </w:rPr>
      </w:pPr>
      <w:r>
        <w:rPr>
          <w:rFonts w:hint="eastAsia" w:ascii="宋体" w:hAnsi="宋体" w:cs="宋体"/>
          <w:color w:val="auto"/>
          <w:lang w:eastAsia="zh-CN"/>
        </w:rPr>
        <w:t xml:space="preserve">                                   </w:t>
      </w:r>
      <w:r>
        <w:rPr>
          <w:rFonts w:hint="eastAsia" w:ascii="宋体" w:hAnsi="宋体" w:cs="宋体"/>
          <w:color w:val="auto"/>
          <w:u w:val="single"/>
          <w:lang w:eastAsia="zh-CN"/>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p>
    <w:p w14:paraId="6A364DA9">
      <w:pPr>
        <w:spacing w:line="440" w:lineRule="exact"/>
        <w:ind w:firstLine="420"/>
        <w:rPr>
          <w:rFonts w:ascii="宋体" w:hAnsi="宋体" w:cs="宋体"/>
          <w:color w:val="auto"/>
        </w:rPr>
      </w:pPr>
    </w:p>
    <w:p w14:paraId="48E79E50">
      <w:pPr>
        <w:spacing w:line="440" w:lineRule="exact"/>
        <w:ind w:firstLine="420"/>
        <w:rPr>
          <w:rFonts w:ascii="宋体" w:hAnsi="宋体" w:cs="宋体"/>
          <w:color w:val="auto"/>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4E1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vAlign w:val="center"/>
          </w:tcPr>
          <w:p w14:paraId="36DA681E">
            <w:pPr>
              <w:spacing w:line="440" w:lineRule="exact"/>
              <w:ind w:firstLine="420"/>
              <w:jc w:val="center"/>
              <w:rPr>
                <w:rFonts w:ascii="宋体" w:hAnsi="宋体" w:cs="宋体"/>
                <w:color w:val="auto"/>
                <w:lang w:eastAsia="zh-CN"/>
              </w:rPr>
            </w:pPr>
            <w:r>
              <w:rPr>
                <w:rFonts w:hint="eastAsia" w:ascii="宋体" w:hAnsi="宋体" w:cs="宋体"/>
                <w:color w:val="auto"/>
                <w:lang w:eastAsia="zh-CN"/>
              </w:rPr>
              <w:t>法定代表人身份证扫描件</w:t>
            </w:r>
          </w:p>
          <w:p w14:paraId="23967405">
            <w:pPr>
              <w:spacing w:line="440" w:lineRule="exact"/>
              <w:ind w:firstLine="420"/>
              <w:jc w:val="center"/>
              <w:rPr>
                <w:rFonts w:ascii="宋体" w:hAnsi="宋体" w:cs="宋体"/>
                <w:color w:val="auto"/>
                <w:lang w:eastAsia="zh-CN"/>
              </w:rPr>
            </w:pPr>
          </w:p>
        </w:tc>
      </w:tr>
    </w:tbl>
    <w:p w14:paraId="3783EE17">
      <w:pPr>
        <w:spacing w:line="440" w:lineRule="exact"/>
        <w:ind w:firstLine="420"/>
        <w:rPr>
          <w:rFonts w:ascii="宋体" w:hAnsi="宋体" w:cs="宋体"/>
          <w:color w:val="auto"/>
          <w:lang w:eastAsia="zh-CN"/>
        </w:rPr>
      </w:pPr>
    </w:p>
    <w:p w14:paraId="33D2CDA4">
      <w:pPr>
        <w:spacing w:line="440" w:lineRule="exact"/>
        <w:ind w:firstLine="420"/>
        <w:rPr>
          <w:rFonts w:ascii="宋体" w:hAnsi="宋体" w:cs="宋体"/>
          <w:color w:val="auto"/>
          <w:lang w:eastAsia="zh-CN"/>
        </w:rPr>
      </w:pPr>
    </w:p>
    <w:p w14:paraId="2EA5B037">
      <w:pPr>
        <w:spacing w:line="440" w:lineRule="exact"/>
        <w:ind w:firstLine="400"/>
        <w:rPr>
          <w:rFonts w:ascii="宋体" w:hAnsi="宋体" w:cs="宋体"/>
          <w:color w:val="auto"/>
          <w:sz w:val="20"/>
          <w:szCs w:val="20"/>
          <w:lang w:eastAsia="zh-CN"/>
        </w:rPr>
      </w:pPr>
    </w:p>
    <w:p w14:paraId="43D5AB5F">
      <w:pPr>
        <w:spacing w:line="440" w:lineRule="exact"/>
        <w:ind w:firstLine="400"/>
        <w:rPr>
          <w:rFonts w:ascii="宋体" w:hAnsi="宋体" w:cs="宋体"/>
          <w:color w:val="auto"/>
          <w:sz w:val="20"/>
          <w:szCs w:val="20"/>
          <w:lang w:eastAsia="zh-CN"/>
        </w:rPr>
      </w:pPr>
    </w:p>
    <w:p w14:paraId="4D98D1CB">
      <w:pPr>
        <w:spacing w:line="440" w:lineRule="exact"/>
        <w:ind w:firstLine="400"/>
        <w:rPr>
          <w:rFonts w:ascii="宋体" w:hAnsi="宋体" w:cs="宋体"/>
          <w:color w:val="auto"/>
          <w:sz w:val="20"/>
          <w:szCs w:val="20"/>
          <w:lang w:eastAsia="zh-CN"/>
        </w:rPr>
      </w:pPr>
    </w:p>
    <w:p w14:paraId="33A83F3D">
      <w:pPr>
        <w:pStyle w:val="6"/>
        <w:jc w:val="center"/>
        <w:outlineLvl w:val="9"/>
        <w:rPr>
          <w:color w:val="auto"/>
          <w:lang w:eastAsia="zh-CN"/>
        </w:rPr>
      </w:pPr>
      <w:bookmarkStart w:id="1018" w:name="_Toc202941490"/>
      <w:bookmarkStart w:id="1019" w:name="_Toc466298162"/>
      <w:bookmarkStart w:id="1020" w:name="_Toc26203"/>
      <w:bookmarkStart w:id="1021" w:name="_Toc441791190"/>
      <w:bookmarkStart w:id="1022" w:name="_Toc10135"/>
      <w:bookmarkStart w:id="1023" w:name="_Toc28161"/>
      <w:bookmarkStart w:id="1024" w:name="_Toc318989765"/>
      <w:bookmarkStart w:id="1025" w:name="_Toc4123"/>
      <w:r>
        <w:rPr>
          <w:rFonts w:hint="eastAsia"/>
          <w:color w:val="auto"/>
          <w:lang w:eastAsia="zh-CN"/>
        </w:rPr>
        <w:t>三</w:t>
      </w:r>
      <w:r>
        <w:rPr>
          <w:color w:val="auto"/>
          <w:lang w:eastAsia="zh-CN"/>
        </w:rPr>
        <w:t>、授权委托书</w:t>
      </w:r>
      <w:bookmarkEnd w:id="1018"/>
      <w:bookmarkEnd w:id="1019"/>
      <w:bookmarkEnd w:id="1020"/>
      <w:bookmarkEnd w:id="1021"/>
      <w:bookmarkEnd w:id="1022"/>
      <w:bookmarkEnd w:id="1023"/>
      <w:bookmarkEnd w:id="1024"/>
      <w:bookmarkEnd w:id="1025"/>
    </w:p>
    <w:p w14:paraId="04D19856">
      <w:pPr>
        <w:topLinePunct/>
        <w:spacing w:line="440" w:lineRule="exact"/>
        <w:ind w:firstLine="420"/>
        <w:rPr>
          <w:rFonts w:ascii="宋体" w:hAnsi="宋体" w:cs="宋体"/>
          <w:color w:val="auto"/>
          <w:lang w:eastAsia="zh-CN"/>
        </w:rPr>
      </w:pPr>
      <w:r>
        <w:rPr>
          <w:rFonts w:hint="eastAsia" w:ascii="宋体" w:hAnsi="宋体" w:cs="宋体"/>
          <w:color w:val="auto"/>
          <w:lang w:eastAsia="zh-CN"/>
        </w:rPr>
        <w:t>本人</w:t>
      </w:r>
      <w:r>
        <w:rPr>
          <w:rFonts w:hint="eastAsia" w:ascii="宋体" w:hAnsi="宋体" w:cs="宋体"/>
          <w:color w:val="auto"/>
          <w:u w:val="single"/>
          <w:lang w:eastAsia="zh-CN"/>
        </w:rPr>
        <w:t xml:space="preserve">       </w:t>
      </w:r>
      <w:r>
        <w:rPr>
          <w:rFonts w:hint="eastAsia" w:ascii="宋体" w:hAnsi="宋体" w:cs="宋体"/>
          <w:color w:val="auto"/>
          <w:lang w:eastAsia="zh-CN"/>
        </w:rPr>
        <w:t>（姓名）系</w:t>
      </w:r>
      <w:r>
        <w:rPr>
          <w:rFonts w:hint="eastAsia" w:ascii="宋体" w:hAnsi="宋体" w:cs="宋体"/>
          <w:color w:val="auto"/>
          <w:u w:val="single"/>
          <w:lang w:eastAsia="zh-CN"/>
        </w:rPr>
        <w:t xml:space="preserve">        </w:t>
      </w:r>
      <w:r>
        <w:rPr>
          <w:rFonts w:hint="eastAsia" w:ascii="宋体" w:hAnsi="宋体" w:cs="宋体"/>
          <w:color w:val="auto"/>
          <w:lang w:eastAsia="zh-CN"/>
        </w:rPr>
        <w:t>（供应商名称）的法定代表人，现委托</w:t>
      </w:r>
      <w:r>
        <w:rPr>
          <w:rFonts w:hint="eastAsia" w:ascii="宋体" w:hAnsi="宋体" w:cs="宋体"/>
          <w:color w:val="auto"/>
          <w:u w:val="single"/>
          <w:lang w:eastAsia="zh-CN"/>
        </w:rPr>
        <w:t xml:space="preserve">        </w:t>
      </w:r>
      <w:r>
        <w:rPr>
          <w:rFonts w:hint="eastAsia" w:ascii="宋体" w:hAnsi="宋体" w:cs="宋体"/>
          <w:color w:val="auto"/>
          <w:lang w:eastAsia="zh-CN"/>
        </w:rPr>
        <w:t>（姓名）为我方代理人。代理人根据授权，以我方名义签署、澄清、说明、补正、递交、撤回、修改</w:t>
      </w:r>
      <w:r>
        <w:rPr>
          <w:rFonts w:hint="eastAsia" w:ascii="宋体" w:hAnsi="宋体" w:cs="宋体"/>
          <w:color w:val="auto"/>
          <w:u w:val="single"/>
          <w:lang w:eastAsia="zh-CN"/>
        </w:rPr>
        <w:t xml:space="preserve">           </w:t>
      </w:r>
      <w:r>
        <w:rPr>
          <w:rFonts w:hint="eastAsia" w:ascii="宋体" w:hAnsi="宋体" w:cs="宋体"/>
          <w:color w:val="auto"/>
          <w:lang w:eastAsia="zh-CN"/>
        </w:rPr>
        <w:t>（项目名称）响应文件、签订合同和处理有关事宜，其法律后果由我方承担。</w:t>
      </w:r>
    </w:p>
    <w:p w14:paraId="71156025">
      <w:pPr>
        <w:spacing w:line="440" w:lineRule="exact"/>
        <w:ind w:firstLine="420"/>
        <w:rPr>
          <w:rFonts w:ascii="宋体" w:hAnsi="宋体" w:cs="宋体"/>
          <w:color w:val="auto"/>
          <w:lang w:eastAsia="zh-CN"/>
        </w:rPr>
      </w:pPr>
      <w:r>
        <w:rPr>
          <w:rFonts w:hint="eastAsia" w:ascii="宋体" w:hAnsi="宋体" w:cs="宋体"/>
          <w:color w:val="auto"/>
          <w:lang w:eastAsia="zh-CN"/>
        </w:rPr>
        <w:t>委托期限：自本委托书签署之日起至磋商有效期期满。</w:t>
      </w:r>
    </w:p>
    <w:p w14:paraId="104A799C">
      <w:pPr>
        <w:spacing w:line="440" w:lineRule="exact"/>
        <w:ind w:firstLine="420"/>
        <w:rPr>
          <w:rFonts w:ascii="宋体" w:hAnsi="宋体" w:cs="宋体"/>
          <w:color w:val="auto"/>
          <w:lang w:eastAsia="zh-CN"/>
        </w:rPr>
      </w:pPr>
      <w:r>
        <w:rPr>
          <w:rFonts w:hint="eastAsia" w:ascii="宋体" w:hAnsi="宋体" w:cs="宋体"/>
          <w:color w:val="auto"/>
          <w:lang w:eastAsia="zh-CN"/>
        </w:rPr>
        <w:t>代理人无转委托权。</w:t>
      </w:r>
    </w:p>
    <w:p w14:paraId="1D2AE72F">
      <w:pPr>
        <w:spacing w:line="440" w:lineRule="exact"/>
        <w:ind w:firstLine="420"/>
        <w:rPr>
          <w:rFonts w:ascii="宋体" w:hAnsi="宋体" w:cs="宋体"/>
          <w:color w:val="auto"/>
          <w:lang w:eastAsia="zh-CN"/>
        </w:rPr>
      </w:pPr>
    </w:p>
    <w:p w14:paraId="786B7815">
      <w:pPr>
        <w:spacing w:line="440" w:lineRule="exact"/>
        <w:ind w:firstLine="420"/>
        <w:rPr>
          <w:rFonts w:ascii="宋体" w:hAnsi="宋体" w:cs="宋体"/>
          <w:color w:val="auto"/>
          <w:lang w:eastAsia="zh-CN"/>
        </w:rPr>
      </w:pPr>
    </w:p>
    <w:p w14:paraId="6F24A000">
      <w:pPr>
        <w:spacing w:line="440" w:lineRule="exact"/>
        <w:ind w:firstLine="420"/>
        <w:rPr>
          <w:rFonts w:ascii="宋体" w:hAnsi="宋体" w:cs="宋体"/>
          <w:color w:val="auto"/>
          <w:lang w:eastAsia="zh-CN"/>
        </w:rPr>
      </w:pPr>
    </w:p>
    <w:p w14:paraId="50788C47">
      <w:pPr>
        <w:spacing w:line="440" w:lineRule="exact"/>
        <w:ind w:firstLine="420"/>
        <w:jc w:val="center"/>
        <w:rPr>
          <w:rFonts w:ascii="宋体" w:hAnsi="宋体" w:cs="宋体"/>
          <w:color w:val="auto"/>
          <w:lang w:eastAsia="zh-CN"/>
        </w:rPr>
      </w:pPr>
      <w:r>
        <w:rPr>
          <w:rFonts w:hint="eastAsia" w:ascii="宋体" w:hAnsi="宋体" w:cs="宋体"/>
          <w:color w:val="auto"/>
          <w:lang w:eastAsia="zh-CN"/>
        </w:rPr>
        <w:t xml:space="preserve">               供应商：</w:t>
      </w:r>
      <w:r>
        <w:rPr>
          <w:rFonts w:hint="eastAsia" w:ascii="宋体" w:hAnsi="宋体" w:cs="宋体"/>
          <w:color w:val="auto"/>
          <w:u w:val="single"/>
          <w:lang w:eastAsia="zh-CN"/>
        </w:rPr>
        <w:t xml:space="preserve">                            </w:t>
      </w:r>
      <w:r>
        <w:rPr>
          <w:rFonts w:hint="eastAsia" w:ascii="宋体" w:hAnsi="宋体" w:cs="宋体"/>
          <w:color w:val="auto"/>
          <w:lang w:eastAsia="zh-CN"/>
        </w:rPr>
        <w:t>（单位电子签章）</w:t>
      </w:r>
    </w:p>
    <w:p w14:paraId="350D8ABB">
      <w:pPr>
        <w:spacing w:line="440" w:lineRule="exact"/>
        <w:ind w:firstLine="420"/>
        <w:jc w:val="center"/>
        <w:rPr>
          <w:rFonts w:ascii="宋体" w:hAnsi="宋体" w:cs="宋体"/>
          <w:color w:val="auto"/>
          <w:lang w:eastAsia="zh-CN"/>
        </w:rPr>
      </w:pPr>
      <w:r>
        <w:rPr>
          <w:rFonts w:hint="eastAsia" w:ascii="宋体" w:hAnsi="宋体" w:cs="宋体"/>
          <w:color w:val="auto"/>
          <w:lang w:eastAsia="zh-CN"/>
        </w:rPr>
        <w:t xml:space="preserve">                   法定代表人：</w:t>
      </w:r>
      <w:r>
        <w:rPr>
          <w:rFonts w:hint="eastAsia" w:ascii="宋体" w:hAnsi="宋体" w:cs="宋体"/>
          <w:color w:val="auto"/>
          <w:u w:val="single"/>
          <w:lang w:eastAsia="zh-CN"/>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lang w:eastAsia="zh-CN"/>
        </w:rPr>
        <w:t xml:space="preserve">  </w:t>
      </w:r>
      <w:r>
        <w:rPr>
          <w:rFonts w:hint="eastAsia" w:ascii="宋体" w:hAnsi="宋体" w:cs="宋体"/>
          <w:color w:val="auto"/>
          <w:lang w:eastAsia="zh-CN"/>
        </w:rPr>
        <w:t>（电子签名或电子签章）</w:t>
      </w:r>
    </w:p>
    <w:p w14:paraId="39E01DD1">
      <w:pPr>
        <w:spacing w:line="440" w:lineRule="exact"/>
        <w:ind w:firstLine="2415" w:firstLineChars="1150"/>
        <w:rPr>
          <w:rFonts w:ascii="宋体" w:hAnsi="宋体" w:cs="宋体"/>
          <w:color w:val="auto"/>
          <w:lang w:eastAsia="zh-CN"/>
        </w:rPr>
      </w:pPr>
      <w:r>
        <w:rPr>
          <w:rFonts w:hint="eastAsia" w:ascii="宋体" w:hAnsi="宋体" w:cs="宋体"/>
          <w:color w:val="auto"/>
          <w:lang w:eastAsia="zh-CN"/>
        </w:rPr>
        <w:t>身份证号码：</w:t>
      </w:r>
      <w:r>
        <w:rPr>
          <w:rFonts w:hint="eastAsia" w:ascii="宋体" w:hAnsi="宋体" w:cs="宋体"/>
          <w:color w:val="auto"/>
          <w:u w:val="single"/>
          <w:lang w:eastAsia="zh-CN"/>
        </w:rPr>
        <w:t xml:space="preserve">                        </w:t>
      </w:r>
    </w:p>
    <w:p w14:paraId="75A83DF3">
      <w:pPr>
        <w:spacing w:line="440" w:lineRule="exact"/>
        <w:ind w:firstLine="420"/>
        <w:jc w:val="center"/>
        <w:rPr>
          <w:rFonts w:ascii="宋体" w:hAnsi="宋体" w:cs="宋体"/>
          <w:color w:val="auto"/>
          <w:lang w:eastAsia="zh-CN"/>
        </w:rPr>
      </w:pPr>
      <w:r>
        <w:rPr>
          <w:rFonts w:hint="eastAsia" w:ascii="宋体" w:hAnsi="宋体" w:cs="宋体"/>
          <w:color w:val="auto"/>
          <w:lang w:eastAsia="zh-CN"/>
        </w:rPr>
        <w:t xml:space="preserve">             委托代理人：</w:t>
      </w:r>
      <w:r>
        <w:rPr>
          <w:rFonts w:hint="eastAsia" w:ascii="宋体" w:hAnsi="宋体" w:cs="宋体"/>
          <w:color w:val="auto"/>
          <w:u w:val="single"/>
          <w:lang w:eastAsia="zh-CN"/>
        </w:rPr>
        <w:t xml:space="preserve">                        </w:t>
      </w:r>
      <w:r>
        <w:rPr>
          <w:rFonts w:hint="eastAsia" w:ascii="宋体" w:hAnsi="宋体" w:cs="宋体"/>
          <w:color w:val="auto"/>
          <w:lang w:eastAsia="zh-CN"/>
        </w:rPr>
        <w:t>（签字或盖章）</w:t>
      </w:r>
    </w:p>
    <w:p w14:paraId="12F7860D">
      <w:pPr>
        <w:spacing w:line="440" w:lineRule="exact"/>
        <w:ind w:firstLine="2415" w:firstLineChars="1150"/>
        <w:rPr>
          <w:rFonts w:ascii="宋体" w:hAnsi="宋体" w:cs="宋体"/>
          <w:color w:val="auto"/>
        </w:rPr>
      </w:pPr>
      <w:r>
        <w:rPr>
          <w:rFonts w:hint="eastAsia" w:ascii="宋体" w:hAnsi="宋体" w:cs="宋体"/>
          <w:color w:val="auto"/>
        </w:rPr>
        <w:t>身份证号码：</w:t>
      </w:r>
      <w:r>
        <w:rPr>
          <w:rFonts w:hint="eastAsia" w:ascii="宋体" w:hAnsi="宋体" w:cs="宋体"/>
          <w:color w:val="auto"/>
          <w:u w:val="single"/>
        </w:rPr>
        <w:t xml:space="preserve">                  </w:t>
      </w:r>
      <w:r>
        <w:rPr>
          <w:rFonts w:hint="eastAsia" w:ascii="宋体" w:hAnsi="宋体" w:cs="宋体"/>
          <w:color w:val="auto"/>
          <w:u w:val="single"/>
          <w:lang w:eastAsia="zh-CN"/>
        </w:rPr>
        <w:t xml:space="preserve"> </w:t>
      </w:r>
      <w:r>
        <w:rPr>
          <w:rFonts w:hint="eastAsia" w:ascii="宋体" w:hAnsi="宋体" w:cs="宋体"/>
          <w:color w:val="auto"/>
          <w:u w:val="single"/>
        </w:rPr>
        <w:t xml:space="preserve">     </w:t>
      </w:r>
    </w:p>
    <w:p w14:paraId="04D36AB2">
      <w:pPr>
        <w:spacing w:line="440" w:lineRule="exact"/>
        <w:ind w:firstLine="420"/>
        <w:jc w:val="right"/>
        <w:rPr>
          <w:rFonts w:ascii="宋体" w:hAnsi="宋体" w:cs="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4D60C409">
      <w:pPr>
        <w:spacing w:line="440" w:lineRule="exact"/>
        <w:ind w:firstLine="420"/>
        <w:rPr>
          <w:rFonts w:ascii="宋体" w:hAnsi="宋体" w:cs="宋体"/>
          <w:color w:val="auto"/>
        </w:rPr>
      </w:pPr>
    </w:p>
    <w:p w14:paraId="0B10F675">
      <w:pPr>
        <w:pStyle w:val="3"/>
        <w:ind w:firstLine="420"/>
        <w:rPr>
          <w:color w:val="auto"/>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8D2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8528" w:type="dxa"/>
            <w:vAlign w:val="center"/>
          </w:tcPr>
          <w:p w14:paraId="4964882D">
            <w:pPr>
              <w:spacing w:line="440" w:lineRule="exact"/>
              <w:ind w:firstLine="420"/>
              <w:jc w:val="center"/>
              <w:rPr>
                <w:rFonts w:ascii="宋体" w:hAnsi="宋体" w:cs="宋体"/>
                <w:color w:val="auto"/>
                <w:lang w:eastAsia="zh-CN"/>
              </w:rPr>
            </w:pPr>
            <w:r>
              <w:rPr>
                <w:rFonts w:hint="eastAsia" w:ascii="宋体" w:hAnsi="宋体" w:cs="宋体"/>
                <w:color w:val="auto"/>
                <w:lang w:eastAsia="zh-CN"/>
              </w:rPr>
              <w:t>委托代理人身份证扫描件</w:t>
            </w:r>
          </w:p>
          <w:p w14:paraId="51ABA8A0">
            <w:pPr>
              <w:spacing w:line="440" w:lineRule="exact"/>
              <w:ind w:firstLine="420"/>
              <w:jc w:val="center"/>
              <w:rPr>
                <w:rFonts w:ascii="宋体" w:hAnsi="宋体" w:cs="宋体"/>
                <w:color w:val="auto"/>
                <w:lang w:eastAsia="zh-CN"/>
              </w:rPr>
            </w:pPr>
          </w:p>
        </w:tc>
      </w:tr>
    </w:tbl>
    <w:p w14:paraId="616830A1">
      <w:pPr>
        <w:ind w:firstLine="420"/>
        <w:rPr>
          <w:color w:val="auto"/>
          <w:lang w:eastAsia="zh-CN"/>
        </w:rPr>
      </w:pPr>
    </w:p>
    <w:p w14:paraId="38E54A54">
      <w:pPr>
        <w:pStyle w:val="6"/>
        <w:numPr>
          <w:ilvl w:val="1"/>
          <w:numId w:val="0"/>
        </w:numPr>
        <w:spacing w:line="360" w:lineRule="auto"/>
        <w:ind w:left="0" w:leftChars="0" w:firstLine="0" w:firstLineChars="0"/>
        <w:jc w:val="center"/>
        <w:outlineLvl w:val="9"/>
        <w:rPr>
          <w:rFonts w:cs="宋体"/>
          <w:color w:val="auto"/>
          <w:szCs w:val="28"/>
          <w:lang w:eastAsia="zh-CN"/>
        </w:rPr>
      </w:pPr>
      <w:bookmarkStart w:id="1026" w:name="_Toc5437"/>
      <w:bookmarkStart w:id="1027" w:name="_Toc475624458"/>
      <w:r>
        <w:rPr>
          <w:rFonts w:cs="宋体"/>
          <w:color w:val="auto"/>
          <w:szCs w:val="28"/>
          <w:lang w:eastAsia="zh-CN"/>
        </w:rPr>
        <w:br w:type="page"/>
      </w:r>
      <w:bookmarkStart w:id="1028" w:name="_Toc8189"/>
      <w:bookmarkStart w:id="1029" w:name="_Toc24293"/>
      <w:r>
        <w:rPr>
          <w:rFonts w:hint="eastAsia" w:cs="宋体"/>
          <w:color w:val="auto"/>
          <w:szCs w:val="28"/>
          <w:lang w:eastAsia="zh-CN"/>
        </w:rPr>
        <w:t>四、分项报价表</w:t>
      </w:r>
      <w:bookmarkEnd w:id="1028"/>
      <w:bookmarkEnd w:id="1029"/>
    </w:p>
    <w:p w14:paraId="39B472C3">
      <w:pPr>
        <w:pStyle w:val="27"/>
        <w:rPr>
          <w:rFonts w:hAnsi="宋体"/>
          <w:color w:val="auto"/>
        </w:rPr>
      </w:pPr>
    </w:p>
    <w:p w14:paraId="6284B78A">
      <w:pPr>
        <w:spacing w:line="312" w:lineRule="auto"/>
        <w:ind w:firstLine="422"/>
        <w:jc w:val="right"/>
        <w:rPr>
          <w:rFonts w:ascii="宋体" w:hAnsi="宋体" w:cs="宋体"/>
          <w:b/>
          <w:color w:val="auto"/>
          <w:lang w:eastAsia="zh-CN"/>
        </w:rPr>
      </w:pPr>
      <w:r>
        <w:rPr>
          <w:rFonts w:hint="eastAsia" w:ascii="宋体" w:hAnsi="宋体" w:cs="宋体"/>
          <w:b/>
          <w:color w:val="auto"/>
          <w:lang w:eastAsia="zh-CN"/>
        </w:rPr>
        <w:t>单位：元</w:t>
      </w:r>
    </w:p>
    <w:tbl>
      <w:tblPr>
        <w:tblStyle w:val="24"/>
        <w:tblW w:w="8600" w:type="dxa"/>
        <w:tblInd w:w="0" w:type="dxa"/>
        <w:tblLayout w:type="fixed"/>
        <w:tblCellMar>
          <w:top w:w="15" w:type="dxa"/>
          <w:left w:w="15" w:type="dxa"/>
          <w:bottom w:w="15" w:type="dxa"/>
          <w:right w:w="15" w:type="dxa"/>
        </w:tblCellMar>
      </w:tblPr>
      <w:tblGrid>
        <w:gridCol w:w="743"/>
        <w:gridCol w:w="2158"/>
        <w:gridCol w:w="1100"/>
        <w:gridCol w:w="1070"/>
        <w:gridCol w:w="1060"/>
        <w:gridCol w:w="1480"/>
        <w:gridCol w:w="989"/>
      </w:tblGrid>
      <w:tr w14:paraId="4C7149B0">
        <w:tblPrEx>
          <w:tblCellMar>
            <w:top w:w="15" w:type="dxa"/>
            <w:left w:w="15" w:type="dxa"/>
            <w:bottom w:w="15" w:type="dxa"/>
            <w:right w:w="15" w:type="dxa"/>
          </w:tblCellMar>
        </w:tblPrEx>
        <w:trPr>
          <w:trHeight w:val="1015" w:hRule="atLeast"/>
        </w:trPr>
        <w:tc>
          <w:tcPr>
            <w:tcW w:w="743" w:type="dxa"/>
            <w:tcBorders>
              <w:top w:val="single" w:color="000000" w:sz="4" w:space="0"/>
              <w:left w:val="single" w:color="000000" w:sz="4" w:space="0"/>
              <w:bottom w:val="single" w:color="000000" w:sz="4" w:space="0"/>
              <w:right w:val="single" w:color="000000" w:sz="4" w:space="0"/>
            </w:tcBorders>
            <w:vAlign w:val="center"/>
          </w:tcPr>
          <w:p w14:paraId="43EA5506">
            <w:pPr>
              <w:kinsoku/>
              <w:autoSpaceDE/>
              <w:autoSpaceDN/>
              <w:jc w:val="center"/>
              <w:textAlignment w:val="center"/>
              <w:rPr>
                <w:rFonts w:ascii="宋体" w:hAnsi="宋体" w:eastAsia="宋体" w:cs="宋体"/>
                <w:color w:val="auto"/>
              </w:rPr>
            </w:pPr>
            <w:r>
              <w:rPr>
                <w:rFonts w:hint="eastAsia" w:ascii="宋体" w:hAnsi="宋体" w:eastAsia="宋体" w:cs="宋体"/>
                <w:color w:val="auto"/>
                <w:lang w:eastAsia="zh-CN"/>
              </w:rPr>
              <w:t>序号</w:t>
            </w:r>
          </w:p>
        </w:tc>
        <w:tc>
          <w:tcPr>
            <w:tcW w:w="2158" w:type="dxa"/>
            <w:tcBorders>
              <w:top w:val="single" w:color="000000" w:sz="4" w:space="0"/>
              <w:left w:val="single" w:color="000000" w:sz="4" w:space="0"/>
              <w:bottom w:val="single" w:color="000000" w:sz="4" w:space="0"/>
              <w:right w:val="single" w:color="000000" w:sz="4" w:space="0"/>
            </w:tcBorders>
            <w:vAlign w:val="center"/>
          </w:tcPr>
          <w:p w14:paraId="1FD0CFBF">
            <w:pPr>
              <w:kinsoku/>
              <w:autoSpaceDE/>
              <w:autoSpaceDN/>
              <w:jc w:val="center"/>
              <w:textAlignment w:val="center"/>
              <w:rPr>
                <w:rFonts w:ascii="宋体" w:hAnsi="宋体" w:eastAsia="宋体" w:cs="宋体"/>
                <w:color w:val="auto"/>
              </w:rPr>
            </w:pPr>
            <w:r>
              <w:rPr>
                <w:rFonts w:hint="eastAsia" w:ascii="宋体" w:hAnsi="宋体" w:eastAsia="宋体" w:cs="宋体"/>
                <w:color w:val="auto"/>
                <w:lang w:eastAsia="zh-CN"/>
              </w:rPr>
              <w:t>项目名称</w:t>
            </w:r>
          </w:p>
        </w:tc>
        <w:tc>
          <w:tcPr>
            <w:tcW w:w="1100" w:type="dxa"/>
            <w:tcBorders>
              <w:top w:val="single" w:color="000000" w:sz="4" w:space="0"/>
              <w:left w:val="single" w:color="000000" w:sz="4" w:space="0"/>
              <w:bottom w:val="single" w:color="000000" w:sz="4" w:space="0"/>
              <w:right w:val="single" w:color="000000" w:sz="4" w:space="0"/>
            </w:tcBorders>
            <w:vAlign w:val="center"/>
          </w:tcPr>
          <w:p w14:paraId="3FD3FD72">
            <w:pPr>
              <w:kinsoku/>
              <w:autoSpaceDE/>
              <w:autoSpaceDN/>
              <w:jc w:val="center"/>
              <w:textAlignment w:val="center"/>
              <w:rPr>
                <w:rFonts w:ascii="宋体" w:hAnsi="宋体" w:eastAsia="宋体" w:cs="宋体"/>
                <w:color w:val="auto"/>
              </w:rPr>
            </w:pPr>
            <w:r>
              <w:rPr>
                <w:rFonts w:hint="eastAsia" w:ascii="宋体" w:hAnsi="宋体" w:eastAsia="宋体" w:cs="宋体"/>
                <w:color w:val="auto"/>
                <w:lang w:eastAsia="zh-CN"/>
              </w:rPr>
              <w:t>单位</w:t>
            </w:r>
          </w:p>
        </w:tc>
        <w:tc>
          <w:tcPr>
            <w:tcW w:w="1070" w:type="dxa"/>
            <w:tcBorders>
              <w:top w:val="single" w:color="000000" w:sz="4" w:space="0"/>
              <w:left w:val="single" w:color="000000" w:sz="4" w:space="0"/>
              <w:bottom w:val="single" w:color="000000" w:sz="4" w:space="0"/>
              <w:right w:val="single" w:color="000000" w:sz="4" w:space="0"/>
            </w:tcBorders>
            <w:vAlign w:val="center"/>
          </w:tcPr>
          <w:p w14:paraId="52C82002">
            <w:pPr>
              <w:kinsoku/>
              <w:autoSpaceDE/>
              <w:autoSpaceDN/>
              <w:jc w:val="center"/>
              <w:textAlignment w:val="center"/>
              <w:rPr>
                <w:rFonts w:ascii="宋体" w:hAnsi="宋体" w:eastAsia="宋体" w:cs="宋体"/>
                <w:color w:val="auto"/>
              </w:rPr>
            </w:pPr>
            <w:r>
              <w:rPr>
                <w:rFonts w:hint="eastAsia" w:ascii="宋体" w:hAnsi="宋体" w:eastAsia="宋体" w:cs="宋体"/>
                <w:color w:val="auto"/>
                <w:lang w:eastAsia="zh-CN"/>
              </w:rPr>
              <w:t>数量</w:t>
            </w:r>
          </w:p>
        </w:tc>
        <w:tc>
          <w:tcPr>
            <w:tcW w:w="1060" w:type="dxa"/>
            <w:tcBorders>
              <w:top w:val="single" w:color="000000" w:sz="4" w:space="0"/>
              <w:left w:val="single" w:color="000000" w:sz="4" w:space="0"/>
              <w:bottom w:val="single" w:color="000000" w:sz="4" w:space="0"/>
              <w:right w:val="single" w:color="000000" w:sz="4" w:space="0"/>
            </w:tcBorders>
            <w:vAlign w:val="center"/>
          </w:tcPr>
          <w:p w14:paraId="50213BB3">
            <w:pPr>
              <w:kinsoku/>
              <w:autoSpaceDE/>
              <w:autoSpaceDN/>
              <w:jc w:val="center"/>
              <w:textAlignment w:val="center"/>
              <w:rPr>
                <w:rFonts w:ascii="宋体" w:hAnsi="宋体" w:eastAsia="宋体" w:cs="宋体"/>
                <w:color w:val="auto"/>
              </w:rPr>
            </w:pPr>
            <w:r>
              <w:rPr>
                <w:rFonts w:hint="eastAsia" w:ascii="宋体" w:hAnsi="宋体" w:eastAsia="宋体" w:cs="宋体"/>
                <w:color w:val="auto"/>
                <w:lang w:eastAsia="zh-CN"/>
              </w:rPr>
              <w:t>单价</w:t>
            </w:r>
          </w:p>
        </w:tc>
        <w:tc>
          <w:tcPr>
            <w:tcW w:w="1480" w:type="dxa"/>
            <w:tcBorders>
              <w:top w:val="single" w:color="000000" w:sz="4" w:space="0"/>
              <w:left w:val="single" w:color="000000" w:sz="4" w:space="0"/>
              <w:bottom w:val="single" w:color="000000" w:sz="4" w:space="0"/>
              <w:right w:val="single" w:color="000000" w:sz="4" w:space="0"/>
            </w:tcBorders>
            <w:vAlign w:val="center"/>
          </w:tcPr>
          <w:p w14:paraId="0AE5ABDE">
            <w:pPr>
              <w:kinsoku/>
              <w:autoSpaceDE/>
              <w:autoSpaceDN/>
              <w:jc w:val="center"/>
              <w:textAlignment w:val="center"/>
              <w:rPr>
                <w:rFonts w:ascii="宋体" w:hAnsi="宋体" w:eastAsia="宋体" w:cs="宋体"/>
                <w:color w:val="auto"/>
              </w:rPr>
            </w:pPr>
            <w:r>
              <w:rPr>
                <w:rFonts w:hint="eastAsia" w:ascii="宋体" w:hAnsi="宋体" w:eastAsia="宋体" w:cs="宋体"/>
                <w:color w:val="auto"/>
                <w:lang w:eastAsia="zh-CN"/>
              </w:rPr>
              <w:t>合价</w:t>
            </w:r>
          </w:p>
        </w:tc>
        <w:tc>
          <w:tcPr>
            <w:tcW w:w="989" w:type="dxa"/>
            <w:tcBorders>
              <w:top w:val="single" w:color="000000" w:sz="4" w:space="0"/>
              <w:left w:val="single" w:color="000000" w:sz="4" w:space="0"/>
              <w:bottom w:val="single" w:color="000000" w:sz="4" w:space="0"/>
              <w:right w:val="single" w:color="000000" w:sz="4" w:space="0"/>
            </w:tcBorders>
            <w:vAlign w:val="center"/>
          </w:tcPr>
          <w:p w14:paraId="43848615">
            <w:pPr>
              <w:kinsoku/>
              <w:autoSpaceDE/>
              <w:autoSpaceDN/>
              <w:jc w:val="center"/>
              <w:textAlignment w:val="center"/>
              <w:rPr>
                <w:rFonts w:ascii="??" w:hAnsi="??" w:eastAsia="??" w:cs="??"/>
                <w:color w:val="auto"/>
              </w:rPr>
            </w:pPr>
            <w:r>
              <w:rPr>
                <w:rFonts w:ascii="??" w:hAnsi="??" w:eastAsia="??" w:cs="??"/>
                <w:color w:val="auto"/>
                <w:lang w:eastAsia="zh-CN"/>
              </w:rPr>
              <w:t>备注</w:t>
            </w:r>
          </w:p>
        </w:tc>
      </w:tr>
      <w:tr w14:paraId="225FAC7F">
        <w:tblPrEx>
          <w:tblCellMar>
            <w:top w:w="15" w:type="dxa"/>
            <w:left w:w="15" w:type="dxa"/>
            <w:bottom w:w="15" w:type="dxa"/>
            <w:right w:w="15" w:type="dxa"/>
          </w:tblCellMar>
        </w:tblPrEx>
        <w:trPr>
          <w:trHeight w:val="1015" w:hRule="atLeast"/>
        </w:trPr>
        <w:tc>
          <w:tcPr>
            <w:tcW w:w="743" w:type="dxa"/>
            <w:tcBorders>
              <w:top w:val="single" w:color="000000" w:sz="4" w:space="0"/>
              <w:left w:val="single" w:color="000000" w:sz="4" w:space="0"/>
              <w:bottom w:val="single" w:color="000000" w:sz="4" w:space="0"/>
            </w:tcBorders>
            <w:vAlign w:val="center"/>
          </w:tcPr>
          <w:p w14:paraId="4EBFCF01">
            <w:pPr>
              <w:kinsoku/>
              <w:autoSpaceDE/>
              <w:autoSpaceDN/>
              <w:jc w:val="center"/>
              <w:textAlignment w:val="center"/>
              <w:rPr>
                <w:rFonts w:ascii="宋体" w:hAnsi="宋体" w:eastAsia="宋体" w:cs="宋体"/>
                <w:color w:val="auto"/>
              </w:rPr>
            </w:pPr>
            <w:r>
              <w:rPr>
                <w:rFonts w:hint="eastAsia" w:ascii="宋体" w:hAnsi="宋体" w:eastAsia="宋体" w:cs="宋体"/>
                <w:color w:val="auto"/>
                <w:lang w:val="en-US" w:eastAsia="zh-CN"/>
              </w:rPr>
              <w:t>1</w:t>
            </w:r>
          </w:p>
        </w:tc>
        <w:tc>
          <w:tcPr>
            <w:tcW w:w="2158" w:type="dxa"/>
            <w:tcBorders>
              <w:top w:val="single" w:color="000000" w:sz="4" w:space="0"/>
              <w:left w:val="single" w:color="000000" w:sz="4" w:space="0"/>
              <w:bottom w:val="single" w:color="000000" w:sz="4" w:space="0"/>
            </w:tcBorders>
            <w:vAlign w:val="center"/>
          </w:tcPr>
          <w:p w14:paraId="4A8FB50B">
            <w:pPr>
              <w:kinsoku/>
              <w:autoSpaceDE/>
              <w:autoSpaceDN/>
              <w:jc w:val="center"/>
              <w:textAlignment w:val="center"/>
              <w:rPr>
                <w:rFonts w:ascii="宋体" w:hAnsi="宋体" w:eastAsia="宋体" w:cs="宋体"/>
                <w:color w:val="auto"/>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0D809E81">
            <w:pPr>
              <w:kinsoku/>
              <w:autoSpaceDE/>
              <w:autoSpaceDN/>
              <w:jc w:val="center"/>
              <w:textAlignment w:val="center"/>
              <w:rPr>
                <w:rFonts w:ascii="宋体" w:hAnsi="宋体" w:eastAsia="宋体" w:cs="宋体"/>
                <w:color w:val="auto"/>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3520CE49">
            <w:pPr>
              <w:kinsoku/>
              <w:autoSpaceDE/>
              <w:autoSpaceDN/>
              <w:jc w:val="center"/>
              <w:textAlignment w:val="center"/>
              <w:rPr>
                <w:rFonts w:ascii="宋体" w:hAnsi="宋体" w:eastAsia="宋体" w:cs="宋体"/>
                <w:color w:val="auto"/>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10B87324">
            <w:pPr>
              <w:kinsoku/>
              <w:autoSpaceDE/>
              <w:autoSpaceDN/>
              <w:jc w:val="right"/>
              <w:textAlignment w:val="center"/>
              <w:rPr>
                <w:rFonts w:ascii="宋体" w:hAnsi="宋体" w:eastAsia="宋体" w:cs="宋体"/>
                <w:color w:val="auto"/>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B7D2DB1">
            <w:pPr>
              <w:kinsoku/>
              <w:autoSpaceDE/>
              <w:autoSpaceDN/>
              <w:jc w:val="right"/>
              <w:textAlignment w:val="center"/>
              <w:rPr>
                <w:rFonts w:ascii="宋体" w:hAnsi="宋体" w:eastAsia="宋体" w:cs="宋体"/>
                <w:color w:val="auto"/>
              </w:rPr>
            </w:pPr>
          </w:p>
        </w:tc>
        <w:tc>
          <w:tcPr>
            <w:tcW w:w="989" w:type="dxa"/>
            <w:tcBorders>
              <w:top w:val="single" w:color="000000" w:sz="4" w:space="0"/>
              <w:left w:val="single" w:color="000000" w:sz="4" w:space="0"/>
              <w:bottom w:val="single" w:color="000000" w:sz="4" w:space="0"/>
              <w:right w:val="single" w:color="000000" w:sz="4" w:space="0"/>
            </w:tcBorders>
            <w:vAlign w:val="center"/>
          </w:tcPr>
          <w:p w14:paraId="5B0B63B9">
            <w:pPr>
              <w:kinsoku/>
              <w:autoSpaceDE/>
              <w:autoSpaceDN/>
              <w:jc w:val="center"/>
              <w:textAlignment w:val="center"/>
              <w:rPr>
                <w:rFonts w:ascii="宋体" w:hAnsi="宋体" w:eastAsia="宋体" w:cs="宋体"/>
                <w:color w:val="auto"/>
              </w:rPr>
            </w:pPr>
          </w:p>
        </w:tc>
      </w:tr>
      <w:tr w14:paraId="72B498E6">
        <w:tblPrEx>
          <w:tblCellMar>
            <w:top w:w="15" w:type="dxa"/>
            <w:left w:w="15" w:type="dxa"/>
            <w:bottom w:w="15" w:type="dxa"/>
            <w:right w:w="15" w:type="dxa"/>
          </w:tblCellMar>
        </w:tblPrEx>
        <w:trPr>
          <w:trHeight w:val="1015" w:hRule="atLeast"/>
        </w:trPr>
        <w:tc>
          <w:tcPr>
            <w:tcW w:w="743" w:type="dxa"/>
            <w:tcBorders>
              <w:top w:val="single" w:color="000000" w:sz="4" w:space="0"/>
              <w:left w:val="single" w:color="000000" w:sz="4" w:space="0"/>
              <w:bottom w:val="single" w:color="000000" w:sz="4" w:space="0"/>
            </w:tcBorders>
            <w:vAlign w:val="center"/>
          </w:tcPr>
          <w:p w14:paraId="6596F9CC">
            <w:pPr>
              <w:kinsoku/>
              <w:autoSpaceDE/>
              <w:autoSpaceDN/>
              <w:jc w:val="center"/>
              <w:textAlignment w:val="center"/>
              <w:rPr>
                <w:rFonts w:ascii="宋体" w:hAnsi="宋体" w:eastAsia="宋体" w:cs="宋体"/>
                <w:color w:val="auto"/>
                <w:lang w:eastAsia="zh-CN"/>
              </w:rPr>
            </w:pPr>
            <w:r>
              <w:rPr>
                <w:rFonts w:hint="eastAsia" w:ascii="宋体" w:hAnsi="宋体" w:eastAsia="宋体" w:cs="宋体"/>
                <w:color w:val="auto"/>
                <w:lang w:val="en-US" w:eastAsia="zh-CN"/>
              </w:rPr>
              <w:t>2</w:t>
            </w:r>
          </w:p>
        </w:tc>
        <w:tc>
          <w:tcPr>
            <w:tcW w:w="2158" w:type="dxa"/>
            <w:tcBorders>
              <w:top w:val="single" w:color="000000" w:sz="4" w:space="0"/>
              <w:left w:val="single" w:color="000000" w:sz="4" w:space="0"/>
              <w:bottom w:val="single" w:color="000000" w:sz="4" w:space="0"/>
              <w:right w:val="single" w:color="000000" w:sz="4" w:space="0"/>
            </w:tcBorders>
            <w:vAlign w:val="center"/>
          </w:tcPr>
          <w:p w14:paraId="5CE322DA">
            <w:pPr>
              <w:kinsoku/>
              <w:autoSpaceDE/>
              <w:autoSpaceDN/>
              <w:jc w:val="center"/>
              <w:textAlignment w:val="center"/>
              <w:rPr>
                <w:rFonts w:ascii="宋体" w:hAnsi="宋体" w:eastAsia="宋体" w:cs="宋体"/>
                <w:color w:val="auto"/>
              </w:rPr>
            </w:pPr>
            <w:r>
              <w:rPr>
                <w:rFonts w:hint="eastAsia" w:ascii="宋体" w:hAnsi="宋体" w:eastAsia="宋体" w:cs="宋体"/>
                <w:color w:val="auto"/>
                <w:lang w:eastAsia="zh-CN"/>
              </w:rPr>
              <w:t>合计</w:t>
            </w:r>
          </w:p>
        </w:tc>
        <w:tc>
          <w:tcPr>
            <w:tcW w:w="1100" w:type="dxa"/>
            <w:tcBorders>
              <w:top w:val="single" w:color="000000" w:sz="4" w:space="0"/>
              <w:left w:val="single" w:color="000000" w:sz="4" w:space="0"/>
              <w:bottom w:val="single" w:color="000000" w:sz="4" w:space="0"/>
              <w:right w:val="single" w:color="000000" w:sz="4" w:space="0"/>
            </w:tcBorders>
            <w:vAlign w:val="center"/>
          </w:tcPr>
          <w:p w14:paraId="376AE0F4">
            <w:pPr>
              <w:kinsoku/>
              <w:autoSpaceDE/>
              <w:autoSpaceDN/>
              <w:jc w:val="center"/>
              <w:rPr>
                <w:rFonts w:ascii="宋体" w:hAnsi="宋体" w:eastAsia="宋体" w:cs="宋体"/>
                <w:color w:val="auto"/>
              </w:rPr>
            </w:pPr>
          </w:p>
        </w:tc>
        <w:tc>
          <w:tcPr>
            <w:tcW w:w="1070" w:type="dxa"/>
            <w:tcBorders>
              <w:top w:val="single" w:color="000000" w:sz="4" w:space="0"/>
              <w:left w:val="single" w:color="000000" w:sz="4" w:space="0"/>
              <w:bottom w:val="single" w:color="000000" w:sz="4" w:space="0"/>
              <w:right w:val="single" w:color="000000" w:sz="4" w:space="0"/>
            </w:tcBorders>
            <w:vAlign w:val="center"/>
          </w:tcPr>
          <w:p w14:paraId="796AE173">
            <w:pPr>
              <w:kinsoku/>
              <w:autoSpaceDE/>
              <w:autoSpaceDN/>
              <w:jc w:val="center"/>
              <w:rPr>
                <w:rFonts w:ascii="宋体" w:hAnsi="宋体" w:eastAsia="宋体" w:cs="宋体"/>
                <w:color w:val="auto"/>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7C7882CB">
            <w:pPr>
              <w:kinsoku/>
              <w:autoSpaceDE/>
              <w:autoSpaceDN/>
              <w:jc w:val="right"/>
              <w:rPr>
                <w:rFonts w:ascii="宋体" w:hAnsi="宋体" w:eastAsia="宋体" w:cs="宋体"/>
                <w:color w:val="auto"/>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2CBE37C3">
            <w:pPr>
              <w:kinsoku/>
              <w:autoSpaceDE/>
              <w:autoSpaceDN/>
              <w:jc w:val="right"/>
              <w:textAlignment w:val="center"/>
              <w:rPr>
                <w:rFonts w:ascii="宋体" w:hAnsi="宋体" w:eastAsia="宋体" w:cs="宋体"/>
                <w:color w:val="auto"/>
              </w:rPr>
            </w:pPr>
          </w:p>
        </w:tc>
        <w:tc>
          <w:tcPr>
            <w:tcW w:w="989" w:type="dxa"/>
            <w:tcBorders>
              <w:top w:val="single" w:color="000000" w:sz="4" w:space="0"/>
              <w:left w:val="single" w:color="000000" w:sz="4" w:space="0"/>
              <w:bottom w:val="single" w:color="000000" w:sz="4" w:space="0"/>
              <w:right w:val="single" w:color="000000" w:sz="4" w:space="0"/>
            </w:tcBorders>
            <w:vAlign w:val="center"/>
          </w:tcPr>
          <w:p w14:paraId="22D5937D">
            <w:pPr>
              <w:kinsoku/>
              <w:autoSpaceDE/>
              <w:autoSpaceDN/>
              <w:rPr>
                <w:rFonts w:ascii="宋体" w:hAnsi="宋体" w:eastAsia="宋体" w:cs="宋体"/>
                <w:color w:val="auto"/>
              </w:rPr>
            </w:pPr>
          </w:p>
        </w:tc>
      </w:tr>
    </w:tbl>
    <w:p w14:paraId="2D0F6C39">
      <w:pPr>
        <w:spacing w:line="336" w:lineRule="auto"/>
        <w:ind w:firstLine="420"/>
        <w:rPr>
          <w:rFonts w:ascii="宋体" w:hAnsi="宋体" w:cs="宋体"/>
          <w:color w:val="auto"/>
        </w:rPr>
      </w:pPr>
    </w:p>
    <w:p w14:paraId="55C62A7F">
      <w:pPr>
        <w:spacing w:line="336" w:lineRule="auto"/>
        <w:ind w:firstLine="420"/>
        <w:rPr>
          <w:rFonts w:ascii="宋体" w:hAnsi="宋体" w:cs="宋体"/>
          <w:color w:val="auto"/>
          <w:lang w:eastAsia="zh-CN"/>
        </w:rPr>
      </w:pPr>
      <w:r>
        <w:rPr>
          <w:rFonts w:hint="eastAsia" w:ascii="宋体" w:hAnsi="宋体" w:cs="宋体"/>
          <w:color w:val="auto"/>
          <w:lang w:eastAsia="zh-CN"/>
        </w:rPr>
        <w:t>注：该表格仅供参考供应商，可根据需要自行扩展。</w:t>
      </w:r>
    </w:p>
    <w:p w14:paraId="1A819C55">
      <w:pPr>
        <w:spacing w:line="312" w:lineRule="auto"/>
        <w:ind w:firstLine="480"/>
        <w:rPr>
          <w:rFonts w:ascii="宋体" w:hAnsi="宋体" w:cs="宋体"/>
          <w:color w:val="auto"/>
          <w:sz w:val="24"/>
          <w:lang w:eastAsia="zh-CN"/>
        </w:rPr>
      </w:pPr>
    </w:p>
    <w:p w14:paraId="07540D37">
      <w:pPr>
        <w:tabs>
          <w:tab w:val="left" w:pos="1365"/>
        </w:tabs>
        <w:spacing w:line="360" w:lineRule="auto"/>
        <w:ind w:firstLine="315" w:firstLineChars="150"/>
        <w:jc w:val="right"/>
        <w:rPr>
          <w:rFonts w:ascii="宋体" w:hAnsi="宋体" w:cs="宋体"/>
          <w:color w:val="auto"/>
          <w:lang w:eastAsia="zh-CN"/>
        </w:rPr>
      </w:pPr>
      <w:r>
        <w:rPr>
          <w:rFonts w:hint="eastAsia" w:ascii="宋体" w:hAnsi="宋体" w:cs="宋体"/>
          <w:color w:val="auto"/>
          <w:lang w:eastAsia="zh-CN"/>
        </w:rPr>
        <w:t xml:space="preserve">供应商（单位电子签章）：                    </w:t>
      </w:r>
    </w:p>
    <w:p w14:paraId="56DB326E">
      <w:pPr>
        <w:tabs>
          <w:tab w:val="left" w:pos="1365"/>
        </w:tabs>
        <w:spacing w:line="360" w:lineRule="auto"/>
        <w:ind w:firstLine="315" w:firstLineChars="150"/>
        <w:jc w:val="right"/>
        <w:rPr>
          <w:rFonts w:ascii="宋体" w:hAnsi="宋体" w:cs="宋体"/>
          <w:color w:val="auto"/>
          <w:lang w:eastAsia="zh-CN"/>
        </w:rPr>
      </w:pPr>
      <w:r>
        <w:rPr>
          <w:rFonts w:hint="eastAsia" w:ascii="宋体" w:hAnsi="宋体" w:cs="宋体"/>
          <w:color w:val="auto"/>
          <w:lang w:eastAsia="zh-CN"/>
        </w:rPr>
        <w:t>法定代表人或其委托代理人（电子签名或电子签章）：</w:t>
      </w:r>
    </w:p>
    <w:p w14:paraId="15EC9628">
      <w:pPr>
        <w:spacing w:line="312" w:lineRule="auto"/>
        <w:ind w:firstLine="420"/>
        <w:jc w:val="right"/>
        <w:rPr>
          <w:rFonts w:ascii="宋体" w:hAnsi="宋体" w:cs="宋体"/>
          <w:b/>
          <w:color w:val="auto"/>
          <w:sz w:val="24"/>
          <w:szCs w:val="24"/>
          <w:lang w:eastAsia="zh-CN"/>
        </w:rPr>
      </w:pPr>
      <w:r>
        <w:rPr>
          <w:rFonts w:hint="eastAsia" w:ascii="宋体" w:hAnsi="宋体" w:cs="宋体"/>
          <w:color w:val="auto"/>
          <w:lang w:eastAsia="zh-CN"/>
        </w:rPr>
        <w:t>日   期：     年    月    日</w:t>
      </w:r>
    </w:p>
    <w:p w14:paraId="5864AA83">
      <w:pPr>
        <w:pStyle w:val="2"/>
        <w:ind w:firstLine="403" w:firstLineChars="192"/>
        <w:jc w:val="center"/>
        <w:rPr>
          <w:rStyle w:val="39"/>
          <w:color w:val="auto"/>
          <w:lang w:eastAsia="zh-CN"/>
        </w:rPr>
      </w:pPr>
      <w:bookmarkStart w:id="1030" w:name="_Toc29376"/>
      <w:r>
        <w:rPr>
          <w:rFonts w:hint="eastAsia" w:cs="宋体"/>
          <w:color w:val="auto"/>
          <w:lang w:eastAsia="zh-CN"/>
        </w:rPr>
        <w:br w:type="page"/>
      </w:r>
      <w:bookmarkEnd w:id="1030"/>
      <w:bookmarkStart w:id="1031" w:name="_Toc31896"/>
      <w:bookmarkStart w:id="1032" w:name="_Toc30930"/>
      <w:r>
        <w:rPr>
          <w:rStyle w:val="39"/>
          <w:rFonts w:hint="eastAsia"/>
          <w:color w:val="auto"/>
          <w:lang w:eastAsia="zh-CN"/>
        </w:rPr>
        <w:t>五、商务偏差表</w:t>
      </w:r>
      <w:bookmarkEnd w:id="1031"/>
    </w:p>
    <w:bookmarkEnd w:id="1032"/>
    <w:tbl>
      <w:tblPr>
        <w:tblStyle w:val="24"/>
        <w:tblpPr w:leftFromText="180" w:rightFromText="180" w:vertAnchor="text" w:horzAnchor="page" w:tblpX="2096" w:tblpY="40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6"/>
        <w:gridCol w:w="2693"/>
        <w:gridCol w:w="2979"/>
        <w:gridCol w:w="1625"/>
      </w:tblGrid>
      <w:tr w14:paraId="057F4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926" w:type="dxa"/>
            <w:vAlign w:val="center"/>
          </w:tcPr>
          <w:p w14:paraId="38FDDE63">
            <w:pPr>
              <w:pStyle w:val="40"/>
              <w:spacing w:before="72"/>
              <w:ind w:right="223"/>
              <w:jc w:val="center"/>
              <w:rPr>
                <w:rFonts w:hint="default"/>
                <w:bCs/>
                <w:color w:val="auto"/>
                <w:sz w:val="21"/>
              </w:rPr>
            </w:pPr>
            <w:r>
              <w:rPr>
                <w:rFonts w:cs="宋体"/>
                <w:bCs/>
                <w:color w:val="auto"/>
                <w:sz w:val="21"/>
              </w:rPr>
              <w:t>序号</w:t>
            </w:r>
          </w:p>
        </w:tc>
        <w:tc>
          <w:tcPr>
            <w:tcW w:w="2693" w:type="dxa"/>
            <w:vAlign w:val="center"/>
          </w:tcPr>
          <w:p w14:paraId="02BEB952">
            <w:pPr>
              <w:pStyle w:val="40"/>
              <w:spacing w:before="72"/>
              <w:ind w:firstLine="420"/>
              <w:jc w:val="both"/>
              <w:rPr>
                <w:rFonts w:hint="default"/>
                <w:bCs/>
                <w:color w:val="auto"/>
                <w:sz w:val="21"/>
                <w:lang w:eastAsia="zh-CN"/>
              </w:rPr>
            </w:pPr>
            <w:r>
              <w:rPr>
                <w:rFonts w:cs="宋体"/>
                <w:bCs/>
                <w:color w:val="auto"/>
                <w:sz w:val="21"/>
                <w:lang w:eastAsia="zh-CN"/>
              </w:rPr>
              <w:t>招标文件章节及条款号</w:t>
            </w:r>
          </w:p>
        </w:tc>
        <w:tc>
          <w:tcPr>
            <w:tcW w:w="2979" w:type="dxa"/>
            <w:vAlign w:val="center"/>
          </w:tcPr>
          <w:p w14:paraId="4C3021E3">
            <w:pPr>
              <w:pStyle w:val="40"/>
              <w:spacing w:before="72"/>
              <w:ind w:firstLine="420"/>
              <w:jc w:val="both"/>
              <w:rPr>
                <w:rFonts w:hint="default"/>
                <w:bCs/>
                <w:color w:val="auto"/>
                <w:sz w:val="21"/>
                <w:lang w:eastAsia="zh-CN"/>
              </w:rPr>
            </w:pPr>
            <w:r>
              <w:rPr>
                <w:rFonts w:cs="宋体"/>
                <w:bCs/>
                <w:color w:val="auto"/>
                <w:sz w:val="21"/>
                <w:lang w:eastAsia="zh-CN"/>
              </w:rPr>
              <w:t>投标文件章节及条款号</w:t>
            </w:r>
          </w:p>
        </w:tc>
        <w:tc>
          <w:tcPr>
            <w:tcW w:w="1625" w:type="dxa"/>
            <w:vAlign w:val="center"/>
          </w:tcPr>
          <w:p w14:paraId="46FEF515">
            <w:pPr>
              <w:pStyle w:val="40"/>
              <w:spacing w:before="72"/>
              <w:ind w:firstLine="420"/>
              <w:jc w:val="both"/>
              <w:rPr>
                <w:rFonts w:hint="default"/>
                <w:bCs/>
                <w:color w:val="auto"/>
                <w:sz w:val="21"/>
              </w:rPr>
            </w:pPr>
            <w:r>
              <w:rPr>
                <w:rFonts w:cs="宋体"/>
                <w:bCs/>
                <w:color w:val="auto"/>
                <w:sz w:val="21"/>
              </w:rPr>
              <w:t>偏差说明</w:t>
            </w:r>
          </w:p>
        </w:tc>
      </w:tr>
      <w:tr w14:paraId="23E7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14:paraId="3B6273FC">
            <w:pPr>
              <w:spacing w:line="312" w:lineRule="auto"/>
              <w:ind w:firstLine="420"/>
              <w:jc w:val="both"/>
              <w:rPr>
                <w:rFonts w:ascii="宋体" w:hAnsi="宋体" w:cs="宋体"/>
                <w:bCs/>
                <w:color w:val="auto"/>
              </w:rPr>
            </w:pPr>
            <w:r>
              <w:rPr>
                <w:rFonts w:hint="eastAsia" w:ascii="宋体" w:hAnsi="宋体"/>
                <w:color w:val="auto"/>
              </w:rPr>
              <w:t>1</w:t>
            </w:r>
          </w:p>
        </w:tc>
        <w:tc>
          <w:tcPr>
            <w:tcW w:w="2693" w:type="dxa"/>
            <w:vAlign w:val="center"/>
          </w:tcPr>
          <w:p w14:paraId="761F8A86">
            <w:pPr>
              <w:ind w:firstLine="420"/>
              <w:jc w:val="center"/>
              <w:rPr>
                <w:rFonts w:ascii="宋体" w:hAnsi="宋体" w:cs="宋体"/>
                <w:bCs/>
                <w:color w:val="auto"/>
              </w:rPr>
            </w:pPr>
          </w:p>
        </w:tc>
        <w:tc>
          <w:tcPr>
            <w:tcW w:w="2979" w:type="dxa"/>
            <w:vAlign w:val="center"/>
          </w:tcPr>
          <w:p w14:paraId="732D3775">
            <w:pPr>
              <w:ind w:firstLine="420"/>
              <w:jc w:val="center"/>
              <w:rPr>
                <w:rFonts w:ascii="宋体" w:hAnsi="宋体" w:cs="宋体"/>
                <w:bCs/>
                <w:color w:val="auto"/>
              </w:rPr>
            </w:pPr>
          </w:p>
        </w:tc>
        <w:tc>
          <w:tcPr>
            <w:tcW w:w="1625" w:type="dxa"/>
            <w:vAlign w:val="center"/>
          </w:tcPr>
          <w:p w14:paraId="1F476C39">
            <w:pPr>
              <w:ind w:firstLine="420"/>
              <w:jc w:val="center"/>
              <w:rPr>
                <w:rFonts w:ascii="宋体" w:hAnsi="宋体" w:cs="宋体"/>
                <w:bCs/>
                <w:color w:val="auto"/>
              </w:rPr>
            </w:pPr>
          </w:p>
        </w:tc>
      </w:tr>
      <w:tr w14:paraId="00B1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14:paraId="7FDC6455">
            <w:pPr>
              <w:spacing w:line="312" w:lineRule="auto"/>
              <w:ind w:firstLine="420"/>
              <w:jc w:val="both"/>
              <w:rPr>
                <w:rFonts w:ascii="宋体" w:hAnsi="宋体" w:cs="宋体"/>
                <w:bCs/>
                <w:color w:val="auto"/>
              </w:rPr>
            </w:pPr>
            <w:r>
              <w:rPr>
                <w:rFonts w:hint="eastAsia" w:ascii="宋体" w:hAnsi="宋体"/>
                <w:color w:val="auto"/>
              </w:rPr>
              <w:t>2</w:t>
            </w:r>
          </w:p>
        </w:tc>
        <w:tc>
          <w:tcPr>
            <w:tcW w:w="2693" w:type="dxa"/>
            <w:vAlign w:val="center"/>
          </w:tcPr>
          <w:p w14:paraId="622E2AE8">
            <w:pPr>
              <w:ind w:firstLine="420"/>
              <w:jc w:val="center"/>
              <w:rPr>
                <w:rFonts w:ascii="宋体" w:hAnsi="宋体" w:cs="宋体"/>
                <w:bCs/>
                <w:color w:val="auto"/>
              </w:rPr>
            </w:pPr>
          </w:p>
        </w:tc>
        <w:tc>
          <w:tcPr>
            <w:tcW w:w="2979" w:type="dxa"/>
            <w:vAlign w:val="center"/>
          </w:tcPr>
          <w:p w14:paraId="41D27F0D">
            <w:pPr>
              <w:ind w:firstLine="420"/>
              <w:jc w:val="center"/>
              <w:rPr>
                <w:rFonts w:ascii="宋体" w:hAnsi="宋体" w:cs="宋体"/>
                <w:bCs/>
                <w:color w:val="auto"/>
              </w:rPr>
            </w:pPr>
          </w:p>
        </w:tc>
        <w:tc>
          <w:tcPr>
            <w:tcW w:w="1625" w:type="dxa"/>
            <w:vAlign w:val="center"/>
          </w:tcPr>
          <w:p w14:paraId="0DBCC685">
            <w:pPr>
              <w:ind w:firstLine="420"/>
              <w:jc w:val="center"/>
              <w:rPr>
                <w:rFonts w:ascii="宋体" w:hAnsi="宋体" w:cs="宋体"/>
                <w:bCs/>
                <w:color w:val="auto"/>
              </w:rPr>
            </w:pPr>
          </w:p>
        </w:tc>
      </w:tr>
      <w:tr w14:paraId="7E31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14:paraId="19AD5F3D">
            <w:pPr>
              <w:spacing w:line="312" w:lineRule="auto"/>
              <w:ind w:firstLine="420"/>
              <w:jc w:val="both"/>
              <w:rPr>
                <w:rFonts w:ascii="宋体" w:hAnsi="宋体" w:cs="宋体"/>
                <w:bCs/>
                <w:color w:val="auto"/>
              </w:rPr>
            </w:pPr>
            <w:r>
              <w:rPr>
                <w:rFonts w:hint="eastAsia" w:ascii="宋体" w:hAnsi="宋体"/>
                <w:color w:val="auto"/>
              </w:rPr>
              <w:t>3</w:t>
            </w:r>
          </w:p>
        </w:tc>
        <w:tc>
          <w:tcPr>
            <w:tcW w:w="2693" w:type="dxa"/>
            <w:vAlign w:val="center"/>
          </w:tcPr>
          <w:p w14:paraId="79E57C0F">
            <w:pPr>
              <w:ind w:firstLine="420"/>
              <w:jc w:val="center"/>
              <w:rPr>
                <w:rFonts w:ascii="宋体" w:hAnsi="宋体" w:cs="宋体"/>
                <w:bCs/>
                <w:color w:val="auto"/>
              </w:rPr>
            </w:pPr>
          </w:p>
        </w:tc>
        <w:tc>
          <w:tcPr>
            <w:tcW w:w="2979" w:type="dxa"/>
            <w:vAlign w:val="center"/>
          </w:tcPr>
          <w:p w14:paraId="2FC3FFD3">
            <w:pPr>
              <w:ind w:firstLine="420"/>
              <w:jc w:val="center"/>
              <w:rPr>
                <w:rFonts w:ascii="宋体" w:hAnsi="宋体" w:cs="宋体"/>
                <w:bCs/>
                <w:color w:val="auto"/>
              </w:rPr>
            </w:pPr>
          </w:p>
        </w:tc>
        <w:tc>
          <w:tcPr>
            <w:tcW w:w="1625" w:type="dxa"/>
            <w:vAlign w:val="center"/>
          </w:tcPr>
          <w:p w14:paraId="075A5F84">
            <w:pPr>
              <w:ind w:firstLine="420"/>
              <w:jc w:val="center"/>
              <w:rPr>
                <w:rFonts w:ascii="宋体" w:hAnsi="宋体" w:cs="宋体"/>
                <w:bCs/>
                <w:color w:val="auto"/>
              </w:rPr>
            </w:pPr>
          </w:p>
        </w:tc>
      </w:tr>
      <w:tr w14:paraId="5F1A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14:paraId="0ADD9067">
            <w:pPr>
              <w:spacing w:line="312" w:lineRule="auto"/>
              <w:ind w:firstLine="420"/>
              <w:jc w:val="both"/>
              <w:rPr>
                <w:rFonts w:ascii="宋体" w:hAnsi="宋体" w:cs="宋体"/>
                <w:bCs/>
                <w:color w:val="auto"/>
              </w:rPr>
            </w:pPr>
            <w:r>
              <w:rPr>
                <w:rFonts w:hint="eastAsia" w:ascii="宋体" w:hAnsi="宋体"/>
                <w:color w:val="auto"/>
              </w:rPr>
              <w:t>4</w:t>
            </w:r>
          </w:p>
        </w:tc>
        <w:tc>
          <w:tcPr>
            <w:tcW w:w="2693" w:type="dxa"/>
            <w:vAlign w:val="center"/>
          </w:tcPr>
          <w:p w14:paraId="51B1D9C9">
            <w:pPr>
              <w:ind w:firstLine="420"/>
              <w:jc w:val="center"/>
              <w:rPr>
                <w:rFonts w:ascii="宋体" w:hAnsi="宋体" w:cs="宋体"/>
                <w:bCs/>
                <w:color w:val="auto"/>
              </w:rPr>
            </w:pPr>
          </w:p>
        </w:tc>
        <w:tc>
          <w:tcPr>
            <w:tcW w:w="2979" w:type="dxa"/>
            <w:vAlign w:val="center"/>
          </w:tcPr>
          <w:p w14:paraId="336DFBC4">
            <w:pPr>
              <w:ind w:firstLine="420"/>
              <w:jc w:val="center"/>
              <w:rPr>
                <w:rFonts w:ascii="宋体" w:hAnsi="宋体" w:cs="宋体"/>
                <w:bCs/>
                <w:color w:val="auto"/>
              </w:rPr>
            </w:pPr>
          </w:p>
        </w:tc>
        <w:tc>
          <w:tcPr>
            <w:tcW w:w="1625" w:type="dxa"/>
            <w:vAlign w:val="center"/>
          </w:tcPr>
          <w:p w14:paraId="2A4E82C9">
            <w:pPr>
              <w:ind w:firstLine="420"/>
              <w:jc w:val="center"/>
              <w:rPr>
                <w:rFonts w:ascii="宋体" w:hAnsi="宋体" w:cs="宋体"/>
                <w:bCs/>
                <w:color w:val="auto"/>
              </w:rPr>
            </w:pPr>
          </w:p>
        </w:tc>
      </w:tr>
      <w:tr w14:paraId="4A96B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926" w:type="dxa"/>
            <w:vAlign w:val="center"/>
          </w:tcPr>
          <w:p w14:paraId="2BADB498">
            <w:pPr>
              <w:spacing w:line="312" w:lineRule="auto"/>
              <w:ind w:firstLine="420"/>
              <w:jc w:val="both"/>
              <w:rPr>
                <w:rFonts w:ascii="宋体" w:hAnsi="宋体" w:cs="宋体"/>
                <w:bCs/>
                <w:color w:val="auto"/>
              </w:rPr>
            </w:pPr>
            <w:r>
              <w:rPr>
                <w:rFonts w:hint="eastAsia" w:ascii="宋体" w:hAnsi="宋体"/>
                <w:color w:val="auto"/>
              </w:rPr>
              <w:t>5</w:t>
            </w:r>
          </w:p>
        </w:tc>
        <w:tc>
          <w:tcPr>
            <w:tcW w:w="2693" w:type="dxa"/>
            <w:vAlign w:val="center"/>
          </w:tcPr>
          <w:p w14:paraId="06B0289F">
            <w:pPr>
              <w:ind w:firstLine="420"/>
              <w:jc w:val="center"/>
              <w:rPr>
                <w:rFonts w:ascii="宋体" w:hAnsi="宋体" w:cs="宋体"/>
                <w:bCs/>
                <w:color w:val="auto"/>
              </w:rPr>
            </w:pPr>
          </w:p>
        </w:tc>
        <w:tc>
          <w:tcPr>
            <w:tcW w:w="2979" w:type="dxa"/>
            <w:vAlign w:val="center"/>
          </w:tcPr>
          <w:p w14:paraId="54B9B308">
            <w:pPr>
              <w:ind w:firstLine="420"/>
              <w:jc w:val="center"/>
              <w:rPr>
                <w:rFonts w:ascii="宋体" w:hAnsi="宋体" w:cs="宋体"/>
                <w:bCs/>
                <w:color w:val="auto"/>
              </w:rPr>
            </w:pPr>
          </w:p>
        </w:tc>
        <w:tc>
          <w:tcPr>
            <w:tcW w:w="1625" w:type="dxa"/>
            <w:vAlign w:val="center"/>
          </w:tcPr>
          <w:p w14:paraId="16AE9D02">
            <w:pPr>
              <w:ind w:firstLine="420"/>
              <w:jc w:val="center"/>
              <w:rPr>
                <w:rFonts w:ascii="宋体" w:hAnsi="宋体" w:cs="宋体"/>
                <w:bCs/>
                <w:color w:val="auto"/>
              </w:rPr>
            </w:pPr>
          </w:p>
        </w:tc>
      </w:tr>
      <w:tr w14:paraId="3254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14:paraId="4001AA6B">
            <w:pPr>
              <w:spacing w:line="312" w:lineRule="auto"/>
              <w:ind w:firstLine="420"/>
              <w:jc w:val="both"/>
              <w:rPr>
                <w:rFonts w:ascii="宋体" w:hAnsi="宋体" w:cs="宋体"/>
                <w:bCs/>
                <w:i/>
                <w:color w:val="auto"/>
              </w:rPr>
            </w:pPr>
            <w:r>
              <w:rPr>
                <w:rFonts w:hint="eastAsia" w:ascii="宋体" w:hAnsi="宋体"/>
                <w:color w:val="auto"/>
              </w:rPr>
              <w:t>6</w:t>
            </w:r>
          </w:p>
        </w:tc>
        <w:tc>
          <w:tcPr>
            <w:tcW w:w="2693" w:type="dxa"/>
            <w:vAlign w:val="center"/>
          </w:tcPr>
          <w:p w14:paraId="72224892">
            <w:pPr>
              <w:ind w:firstLine="420"/>
              <w:jc w:val="center"/>
              <w:rPr>
                <w:rFonts w:ascii="宋体" w:hAnsi="宋体" w:cs="宋体"/>
                <w:bCs/>
                <w:color w:val="auto"/>
              </w:rPr>
            </w:pPr>
          </w:p>
        </w:tc>
        <w:tc>
          <w:tcPr>
            <w:tcW w:w="2979" w:type="dxa"/>
            <w:vAlign w:val="center"/>
          </w:tcPr>
          <w:p w14:paraId="248680EB">
            <w:pPr>
              <w:ind w:firstLine="420"/>
              <w:jc w:val="center"/>
              <w:rPr>
                <w:rFonts w:ascii="宋体" w:hAnsi="宋体" w:cs="宋体"/>
                <w:bCs/>
                <w:color w:val="auto"/>
              </w:rPr>
            </w:pPr>
          </w:p>
        </w:tc>
        <w:tc>
          <w:tcPr>
            <w:tcW w:w="1625" w:type="dxa"/>
            <w:vAlign w:val="center"/>
          </w:tcPr>
          <w:p w14:paraId="35AF7D05">
            <w:pPr>
              <w:ind w:firstLine="420"/>
              <w:jc w:val="center"/>
              <w:rPr>
                <w:rFonts w:ascii="宋体" w:hAnsi="宋体" w:cs="宋体"/>
                <w:bCs/>
                <w:color w:val="auto"/>
              </w:rPr>
            </w:pPr>
          </w:p>
        </w:tc>
      </w:tr>
      <w:tr w14:paraId="4C85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926" w:type="dxa"/>
            <w:vAlign w:val="center"/>
          </w:tcPr>
          <w:p w14:paraId="3AC2FFCD">
            <w:pPr>
              <w:spacing w:line="312" w:lineRule="auto"/>
              <w:ind w:firstLine="420"/>
              <w:jc w:val="both"/>
              <w:rPr>
                <w:rFonts w:ascii="宋体" w:hAnsi="宋体" w:cs="宋体"/>
                <w:bCs/>
                <w:i/>
                <w:color w:val="auto"/>
              </w:rPr>
            </w:pPr>
            <w:r>
              <w:rPr>
                <w:rFonts w:ascii="宋体" w:hAnsi="宋体"/>
                <w:color w:val="auto"/>
              </w:rPr>
              <w:t>…</w:t>
            </w:r>
          </w:p>
        </w:tc>
        <w:tc>
          <w:tcPr>
            <w:tcW w:w="2693" w:type="dxa"/>
            <w:vAlign w:val="center"/>
          </w:tcPr>
          <w:p w14:paraId="4047EF76">
            <w:pPr>
              <w:ind w:firstLine="420"/>
              <w:jc w:val="center"/>
              <w:rPr>
                <w:rFonts w:ascii="宋体" w:hAnsi="宋体" w:cs="宋体"/>
                <w:bCs/>
                <w:color w:val="auto"/>
              </w:rPr>
            </w:pPr>
          </w:p>
        </w:tc>
        <w:tc>
          <w:tcPr>
            <w:tcW w:w="2979" w:type="dxa"/>
            <w:vAlign w:val="center"/>
          </w:tcPr>
          <w:p w14:paraId="32BF8BDB">
            <w:pPr>
              <w:ind w:firstLine="420"/>
              <w:jc w:val="center"/>
              <w:rPr>
                <w:rFonts w:ascii="宋体" w:hAnsi="宋体" w:cs="宋体"/>
                <w:bCs/>
                <w:color w:val="auto"/>
              </w:rPr>
            </w:pPr>
          </w:p>
        </w:tc>
        <w:tc>
          <w:tcPr>
            <w:tcW w:w="1625" w:type="dxa"/>
            <w:vAlign w:val="center"/>
          </w:tcPr>
          <w:p w14:paraId="039DF909">
            <w:pPr>
              <w:ind w:firstLine="420"/>
              <w:jc w:val="center"/>
              <w:rPr>
                <w:rFonts w:ascii="宋体" w:hAnsi="宋体" w:cs="宋体"/>
                <w:bCs/>
                <w:color w:val="auto"/>
              </w:rPr>
            </w:pPr>
          </w:p>
        </w:tc>
      </w:tr>
    </w:tbl>
    <w:p w14:paraId="6FF9AC71">
      <w:pPr>
        <w:pStyle w:val="23"/>
        <w:rPr>
          <w:color w:val="auto"/>
        </w:rPr>
      </w:pPr>
    </w:p>
    <w:p w14:paraId="3AF018D1">
      <w:pPr>
        <w:pStyle w:val="3"/>
        <w:spacing w:before="1"/>
        <w:ind w:firstLine="80"/>
        <w:rPr>
          <w:rFonts w:ascii="Microsoft JhengHei"/>
          <w:b/>
          <w:color w:val="auto"/>
          <w:sz w:val="4"/>
        </w:rPr>
      </w:pPr>
    </w:p>
    <w:p w14:paraId="1FC2F6B3">
      <w:pPr>
        <w:pStyle w:val="2"/>
        <w:ind w:firstLine="403" w:firstLineChars="192"/>
        <w:jc w:val="center"/>
        <w:rPr>
          <w:rFonts w:ascii="宋体" w:hAnsi="宋体" w:cs="宋体"/>
          <w:color w:val="auto"/>
        </w:rPr>
      </w:pPr>
    </w:p>
    <w:p w14:paraId="76E75C91">
      <w:pPr>
        <w:pStyle w:val="2"/>
        <w:ind w:firstLine="403" w:firstLineChars="192"/>
        <w:jc w:val="center"/>
        <w:rPr>
          <w:rFonts w:ascii="宋体" w:hAnsi="宋体" w:cs="宋体"/>
          <w:color w:val="auto"/>
        </w:rPr>
      </w:pPr>
    </w:p>
    <w:p w14:paraId="61ED3F71">
      <w:pPr>
        <w:pStyle w:val="2"/>
        <w:ind w:firstLine="403" w:firstLineChars="192"/>
        <w:jc w:val="center"/>
        <w:rPr>
          <w:rFonts w:ascii="宋体" w:hAnsi="宋体" w:cs="宋体"/>
          <w:color w:val="auto"/>
        </w:rPr>
      </w:pPr>
    </w:p>
    <w:p w14:paraId="1EC29CFF">
      <w:pPr>
        <w:pStyle w:val="23"/>
        <w:rPr>
          <w:rFonts w:ascii="宋体" w:hAnsi="宋体" w:cs="宋体"/>
          <w:color w:val="auto"/>
        </w:rPr>
      </w:pPr>
    </w:p>
    <w:p w14:paraId="531F514D">
      <w:pPr>
        <w:ind w:firstLine="420"/>
        <w:rPr>
          <w:rFonts w:ascii="宋体" w:hAnsi="宋体" w:cs="宋体"/>
          <w:color w:val="auto"/>
        </w:rPr>
      </w:pPr>
    </w:p>
    <w:p w14:paraId="018EC1FF">
      <w:pPr>
        <w:pStyle w:val="27"/>
        <w:rPr>
          <w:rFonts w:hAnsi="宋体"/>
          <w:color w:val="auto"/>
          <w:sz w:val="21"/>
          <w:szCs w:val="21"/>
        </w:rPr>
      </w:pPr>
    </w:p>
    <w:p w14:paraId="7D59F1F9">
      <w:pPr>
        <w:pStyle w:val="19"/>
        <w:ind w:firstLine="420"/>
        <w:rPr>
          <w:rFonts w:ascii="宋体" w:hAnsi="宋体" w:cs="宋体"/>
          <w:color w:val="auto"/>
          <w:sz w:val="21"/>
          <w:szCs w:val="21"/>
        </w:rPr>
      </w:pPr>
    </w:p>
    <w:p w14:paraId="078BEE14">
      <w:pPr>
        <w:pStyle w:val="19"/>
        <w:ind w:firstLine="420"/>
        <w:rPr>
          <w:rFonts w:ascii="宋体" w:hAnsi="宋体" w:cs="宋体"/>
          <w:color w:val="auto"/>
          <w:sz w:val="21"/>
          <w:szCs w:val="21"/>
        </w:rPr>
      </w:pPr>
    </w:p>
    <w:p w14:paraId="064C63D0">
      <w:pPr>
        <w:pStyle w:val="19"/>
        <w:ind w:firstLine="420"/>
        <w:rPr>
          <w:rFonts w:ascii="宋体" w:hAnsi="宋体" w:cs="宋体"/>
          <w:color w:val="auto"/>
          <w:sz w:val="21"/>
          <w:szCs w:val="21"/>
        </w:rPr>
      </w:pPr>
    </w:p>
    <w:p w14:paraId="31DE36B2">
      <w:pPr>
        <w:pStyle w:val="2"/>
        <w:ind w:firstLine="403" w:firstLineChars="192"/>
        <w:jc w:val="center"/>
        <w:rPr>
          <w:rFonts w:ascii="宋体" w:hAnsi="宋体" w:cs="宋体"/>
          <w:color w:val="auto"/>
        </w:rPr>
      </w:pPr>
    </w:p>
    <w:p w14:paraId="456EECEC">
      <w:pPr>
        <w:pStyle w:val="2"/>
        <w:ind w:firstLine="0" w:firstLineChars="0"/>
        <w:rPr>
          <w:rFonts w:ascii="宋体" w:hAnsi="宋体" w:cs="宋体"/>
          <w:color w:val="auto"/>
        </w:rPr>
      </w:pPr>
    </w:p>
    <w:p w14:paraId="0CD5FF5D">
      <w:pPr>
        <w:pStyle w:val="2"/>
        <w:ind w:firstLine="403" w:firstLineChars="192"/>
        <w:jc w:val="center"/>
        <w:rPr>
          <w:rFonts w:ascii="宋体" w:hAnsi="宋体" w:cs="宋体"/>
          <w:color w:val="auto"/>
        </w:rPr>
      </w:pPr>
    </w:p>
    <w:p w14:paraId="4BB99788">
      <w:pPr>
        <w:pStyle w:val="2"/>
        <w:ind w:firstLine="403" w:firstLineChars="192"/>
        <w:jc w:val="center"/>
        <w:rPr>
          <w:rFonts w:ascii="宋体" w:hAnsi="宋体" w:cs="宋体"/>
          <w:color w:val="auto"/>
        </w:rPr>
      </w:pPr>
    </w:p>
    <w:p w14:paraId="1A55E693">
      <w:pPr>
        <w:pStyle w:val="2"/>
        <w:ind w:left="403" w:leftChars="192" w:firstLine="0" w:firstLineChars="0"/>
        <w:jc w:val="center"/>
        <w:rPr>
          <w:rStyle w:val="39"/>
          <w:rFonts w:hint="default" w:eastAsia="宋体" w:cs="Times New Roman"/>
          <w:color w:val="auto"/>
          <w:lang w:val="en-US" w:eastAsia="zh-CN"/>
        </w:rPr>
      </w:pPr>
      <w:r>
        <w:rPr>
          <w:rFonts w:hint="eastAsia" w:ascii="宋体" w:hAnsi="宋体" w:cs="宋体"/>
          <w:color w:val="auto"/>
        </w:rPr>
        <w:br w:type="page"/>
      </w:r>
      <w:bookmarkStart w:id="1033" w:name="_Toc21976"/>
      <w:bookmarkStart w:id="1034" w:name="_Toc29205"/>
      <w:r>
        <w:rPr>
          <w:rStyle w:val="39"/>
          <w:rFonts w:hint="eastAsia" w:eastAsia="宋体" w:cs="Times New Roman"/>
          <w:color w:val="auto"/>
          <w:lang w:eastAsia="zh-CN"/>
        </w:rPr>
        <w:t>六、</w:t>
      </w:r>
      <w:r>
        <w:rPr>
          <w:rStyle w:val="39"/>
          <w:rFonts w:hint="eastAsia" w:eastAsia="宋体" w:cs="Times New Roman"/>
          <w:color w:val="auto"/>
          <w:lang w:val="en-US" w:eastAsia="zh-CN"/>
        </w:rPr>
        <w:t>采购需求及技术要求承诺函</w:t>
      </w:r>
    </w:p>
    <w:bookmarkEnd w:id="1033"/>
    <w:bookmarkEnd w:id="1034"/>
    <w:p w14:paraId="5C1DB0C8">
      <w:pPr>
        <w:ind w:firstLine="420"/>
        <w:jc w:val="center"/>
        <w:rPr>
          <w:rFonts w:ascii="宋体" w:hAnsi="宋体" w:cs="宋体"/>
          <w:color w:val="auto"/>
          <w:lang w:eastAsia="zh-CN"/>
        </w:rPr>
      </w:pPr>
      <w:r>
        <w:rPr>
          <w:rFonts w:hint="eastAsia" w:ascii="宋体" w:hAnsi="宋体" w:cs="宋体"/>
          <w:color w:val="auto"/>
          <w:lang w:eastAsia="zh-CN"/>
        </w:rPr>
        <w:t>（</w:t>
      </w:r>
      <w:r>
        <w:rPr>
          <w:rFonts w:hint="eastAsia" w:ascii="宋体" w:hAnsi="宋体"/>
          <w:b/>
          <w:color w:val="auto"/>
          <w:lang w:eastAsia="zh-CN"/>
        </w:rPr>
        <w:t>内容参照</w:t>
      </w:r>
      <w:r>
        <w:rPr>
          <w:rFonts w:hint="eastAsia" w:ascii="宋体" w:hAnsi="宋体"/>
          <w:b/>
          <w:color w:val="auto"/>
          <w:lang w:val="en-US" w:eastAsia="zh-CN"/>
        </w:rPr>
        <w:t>磋商文件第五章</w:t>
      </w:r>
      <w:r>
        <w:rPr>
          <w:rFonts w:hint="eastAsia" w:ascii="宋体" w:hAnsi="宋体"/>
          <w:b/>
          <w:color w:val="auto"/>
          <w:lang w:eastAsia="zh-CN"/>
        </w:rPr>
        <w:t>，格式由供应商自拟</w:t>
      </w:r>
      <w:r>
        <w:rPr>
          <w:rFonts w:hint="eastAsia" w:ascii="宋体" w:hAnsi="宋体" w:cs="宋体"/>
          <w:color w:val="auto"/>
          <w:lang w:eastAsia="zh-CN"/>
        </w:rPr>
        <w:t>）</w:t>
      </w:r>
    </w:p>
    <w:p w14:paraId="2A83B2D3">
      <w:pPr>
        <w:ind w:firstLine="420"/>
        <w:jc w:val="center"/>
        <w:rPr>
          <w:rFonts w:ascii="宋体" w:hAnsi="宋体" w:cs="宋体"/>
          <w:color w:val="auto"/>
          <w:lang w:eastAsia="zh-CN"/>
        </w:rPr>
      </w:pPr>
    </w:p>
    <w:p w14:paraId="3A9A70CD">
      <w:pPr>
        <w:pStyle w:val="2"/>
        <w:ind w:firstLine="210"/>
        <w:rPr>
          <w:rFonts w:ascii="宋体" w:hAnsi="宋体" w:cs="宋体"/>
          <w:color w:val="auto"/>
          <w:lang w:eastAsia="zh-CN"/>
        </w:rPr>
      </w:pPr>
    </w:p>
    <w:p w14:paraId="3B33F017">
      <w:pPr>
        <w:pStyle w:val="23"/>
        <w:tabs>
          <w:tab w:val="left" w:pos="945"/>
          <w:tab w:val="left" w:pos="1155"/>
        </w:tabs>
        <w:rPr>
          <w:rFonts w:ascii="宋体" w:hAnsi="宋体" w:cs="宋体"/>
          <w:color w:val="auto"/>
          <w:lang w:eastAsia="zh-CN"/>
        </w:rPr>
      </w:pPr>
    </w:p>
    <w:p w14:paraId="0CCC031D">
      <w:pPr>
        <w:ind w:firstLine="420"/>
        <w:rPr>
          <w:rFonts w:ascii="宋体" w:hAnsi="宋体" w:cs="宋体"/>
          <w:color w:val="auto"/>
          <w:lang w:eastAsia="zh-CN"/>
        </w:rPr>
      </w:pPr>
    </w:p>
    <w:p w14:paraId="02E91F58">
      <w:pPr>
        <w:pStyle w:val="2"/>
        <w:ind w:firstLine="210"/>
        <w:rPr>
          <w:rFonts w:ascii="宋体" w:hAnsi="宋体" w:cs="宋体"/>
          <w:color w:val="auto"/>
          <w:lang w:eastAsia="zh-CN"/>
        </w:rPr>
      </w:pPr>
    </w:p>
    <w:p w14:paraId="7F1F7A64">
      <w:pPr>
        <w:pStyle w:val="23"/>
        <w:tabs>
          <w:tab w:val="left" w:pos="945"/>
          <w:tab w:val="left" w:pos="1155"/>
        </w:tabs>
        <w:rPr>
          <w:rFonts w:ascii="宋体" w:hAnsi="宋体" w:cs="宋体"/>
          <w:color w:val="auto"/>
          <w:lang w:eastAsia="zh-CN"/>
        </w:rPr>
      </w:pPr>
    </w:p>
    <w:p w14:paraId="5B00F806">
      <w:pPr>
        <w:ind w:firstLine="420"/>
        <w:rPr>
          <w:rFonts w:ascii="宋体" w:hAnsi="宋体" w:cs="宋体"/>
          <w:color w:val="auto"/>
          <w:lang w:eastAsia="zh-CN"/>
        </w:rPr>
      </w:pPr>
    </w:p>
    <w:p w14:paraId="6F5BC671">
      <w:pPr>
        <w:pStyle w:val="2"/>
        <w:ind w:firstLine="210"/>
        <w:rPr>
          <w:rFonts w:ascii="宋体" w:hAnsi="宋体" w:cs="宋体"/>
          <w:color w:val="auto"/>
          <w:lang w:eastAsia="zh-CN"/>
        </w:rPr>
      </w:pPr>
    </w:p>
    <w:p w14:paraId="6B31C09F">
      <w:pPr>
        <w:pStyle w:val="23"/>
        <w:tabs>
          <w:tab w:val="left" w:pos="945"/>
          <w:tab w:val="left" w:pos="1155"/>
        </w:tabs>
        <w:rPr>
          <w:rFonts w:ascii="宋体" w:hAnsi="宋体" w:cs="宋体"/>
          <w:color w:val="auto"/>
          <w:lang w:eastAsia="zh-CN"/>
        </w:rPr>
      </w:pPr>
    </w:p>
    <w:p w14:paraId="6E07FE7D">
      <w:pPr>
        <w:ind w:firstLine="420"/>
        <w:rPr>
          <w:rFonts w:ascii="宋体" w:hAnsi="宋体" w:cs="宋体"/>
          <w:color w:val="auto"/>
          <w:lang w:eastAsia="zh-CN"/>
        </w:rPr>
      </w:pPr>
    </w:p>
    <w:p w14:paraId="4F5BCA5A">
      <w:pPr>
        <w:pStyle w:val="2"/>
        <w:ind w:firstLine="210"/>
        <w:rPr>
          <w:rFonts w:ascii="宋体" w:hAnsi="宋体" w:cs="宋体"/>
          <w:color w:val="auto"/>
          <w:lang w:eastAsia="zh-CN"/>
        </w:rPr>
      </w:pPr>
    </w:p>
    <w:p w14:paraId="72E710FA">
      <w:pPr>
        <w:pStyle w:val="23"/>
        <w:tabs>
          <w:tab w:val="left" w:pos="945"/>
          <w:tab w:val="left" w:pos="1155"/>
        </w:tabs>
        <w:rPr>
          <w:color w:val="auto"/>
          <w:lang w:eastAsia="zh-CN"/>
        </w:rPr>
      </w:pPr>
    </w:p>
    <w:p w14:paraId="162CB23C">
      <w:pPr>
        <w:pStyle w:val="23"/>
        <w:tabs>
          <w:tab w:val="left" w:pos="945"/>
          <w:tab w:val="left" w:pos="1155"/>
        </w:tabs>
        <w:ind w:left="840" w:leftChars="400" w:firstLine="0" w:firstLineChars="0"/>
        <w:rPr>
          <w:color w:val="auto"/>
          <w:lang w:eastAsia="zh-CN"/>
        </w:rPr>
      </w:pPr>
    </w:p>
    <w:p w14:paraId="45E0B4DA">
      <w:pPr>
        <w:pStyle w:val="2"/>
        <w:ind w:firstLine="538" w:firstLineChars="192"/>
        <w:jc w:val="center"/>
        <w:rPr>
          <w:rFonts w:ascii="宋体" w:hAnsi="宋体" w:cs="宋体"/>
          <w:b/>
          <w:color w:val="auto"/>
          <w:sz w:val="28"/>
          <w:szCs w:val="28"/>
          <w:lang w:eastAsia="zh-CN"/>
        </w:rPr>
      </w:pPr>
    </w:p>
    <w:p w14:paraId="375CC016">
      <w:pPr>
        <w:pStyle w:val="2"/>
        <w:ind w:firstLine="538" w:firstLineChars="192"/>
        <w:jc w:val="center"/>
        <w:rPr>
          <w:rFonts w:ascii="宋体" w:hAnsi="宋体" w:cs="宋体"/>
          <w:b/>
          <w:color w:val="auto"/>
          <w:sz w:val="28"/>
          <w:szCs w:val="28"/>
          <w:lang w:eastAsia="zh-CN"/>
        </w:rPr>
      </w:pPr>
    </w:p>
    <w:p w14:paraId="6C8C5B3D">
      <w:pPr>
        <w:pStyle w:val="2"/>
        <w:ind w:firstLine="538" w:firstLineChars="192"/>
        <w:jc w:val="center"/>
        <w:rPr>
          <w:rFonts w:ascii="宋体" w:hAnsi="宋体" w:cs="宋体"/>
          <w:b/>
          <w:color w:val="auto"/>
          <w:sz w:val="28"/>
          <w:szCs w:val="28"/>
          <w:lang w:eastAsia="zh-CN"/>
        </w:rPr>
      </w:pPr>
    </w:p>
    <w:p w14:paraId="33DD0E05">
      <w:pPr>
        <w:pStyle w:val="2"/>
        <w:ind w:firstLine="538" w:firstLineChars="192"/>
        <w:jc w:val="center"/>
        <w:rPr>
          <w:rFonts w:ascii="宋体" w:hAnsi="宋体" w:cs="宋体"/>
          <w:b/>
          <w:color w:val="auto"/>
          <w:sz w:val="28"/>
          <w:szCs w:val="28"/>
          <w:lang w:eastAsia="zh-CN"/>
        </w:rPr>
      </w:pPr>
    </w:p>
    <w:p w14:paraId="35686E50">
      <w:pPr>
        <w:pStyle w:val="2"/>
        <w:ind w:firstLine="538" w:firstLineChars="192"/>
        <w:jc w:val="center"/>
        <w:rPr>
          <w:rFonts w:ascii="宋体" w:hAnsi="宋体" w:cs="宋体"/>
          <w:b/>
          <w:color w:val="auto"/>
          <w:sz w:val="28"/>
          <w:szCs w:val="28"/>
          <w:lang w:eastAsia="zh-CN"/>
        </w:rPr>
      </w:pPr>
    </w:p>
    <w:p w14:paraId="527B2900">
      <w:pPr>
        <w:pStyle w:val="2"/>
        <w:ind w:firstLine="538" w:firstLineChars="192"/>
        <w:jc w:val="center"/>
        <w:rPr>
          <w:rFonts w:ascii="宋体" w:hAnsi="宋体" w:cs="宋体"/>
          <w:b/>
          <w:color w:val="auto"/>
          <w:sz w:val="28"/>
          <w:szCs w:val="28"/>
          <w:lang w:eastAsia="zh-CN"/>
        </w:rPr>
      </w:pPr>
    </w:p>
    <w:p w14:paraId="565BAD8F">
      <w:pPr>
        <w:pStyle w:val="2"/>
        <w:ind w:firstLine="538" w:firstLineChars="192"/>
        <w:jc w:val="center"/>
        <w:rPr>
          <w:rFonts w:ascii="宋体" w:hAnsi="宋体" w:cs="宋体"/>
          <w:b/>
          <w:color w:val="auto"/>
          <w:sz w:val="28"/>
          <w:szCs w:val="28"/>
          <w:lang w:eastAsia="zh-CN"/>
        </w:rPr>
      </w:pPr>
    </w:p>
    <w:p w14:paraId="5ECECF6D">
      <w:pPr>
        <w:pStyle w:val="2"/>
        <w:ind w:firstLine="538" w:firstLineChars="192"/>
        <w:jc w:val="center"/>
        <w:rPr>
          <w:rFonts w:ascii="宋体" w:hAnsi="宋体" w:cs="宋体"/>
          <w:b/>
          <w:color w:val="auto"/>
          <w:sz w:val="28"/>
          <w:szCs w:val="28"/>
          <w:lang w:eastAsia="zh-CN"/>
        </w:rPr>
      </w:pPr>
      <w:r>
        <w:rPr>
          <w:rFonts w:ascii="宋体" w:hAnsi="宋体" w:cs="宋体"/>
          <w:b/>
          <w:color w:val="auto"/>
          <w:sz w:val="28"/>
          <w:szCs w:val="28"/>
          <w:lang w:eastAsia="zh-CN"/>
        </w:rPr>
        <w:br w:type="page"/>
      </w:r>
      <w:bookmarkStart w:id="1035" w:name="_Toc31619"/>
      <w:bookmarkStart w:id="1036" w:name="_Toc25132"/>
    </w:p>
    <w:p w14:paraId="2736ABCD">
      <w:pPr>
        <w:pStyle w:val="2"/>
        <w:numPr>
          <w:ilvl w:val="0"/>
          <w:numId w:val="1"/>
        </w:numPr>
        <w:ind w:firstLine="578" w:firstLineChars="192"/>
        <w:jc w:val="center"/>
        <w:rPr>
          <w:rStyle w:val="39"/>
          <w:rFonts w:hint="eastAsia" w:eastAsia="宋体" w:cs="Times New Roman"/>
          <w:color w:val="auto"/>
          <w:lang w:eastAsia="zh-CN"/>
        </w:rPr>
      </w:pPr>
      <w:r>
        <w:rPr>
          <w:rStyle w:val="39"/>
          <w:rFonts w:hint="eastAsia" w:eastAsia="宋体" w:cs="Times New Roman"/>
          <w:color w:val="auto"/>
          <w:lang w:eastAsia="zh-CN"/>
        </w:rPr>
        <w:t>技术服务方案</w:t>
      </w:r>
    </w:p>
    <w:p w14:paraId="6782D2D7">
      <w:pPr>
        <w:ind w:firstLine="420"/>
        <w:jc w:val="center"/>
        <w:rPr>
          <w:rFonts w:ascii="宋体" w:hAnsi="宋体" w:cs="宋体"/>
          <w:color w:val="auto"/>
          <w:lang w:eastAsia="zh-CN"/>
        </w:rPr>
      </w:pPr>
      <w:r>
        <w:rPr>
          <w:rFonts w:hint="eastAsia" w:ascii="宋体" w:hAnsi="宋体" w:cs="宋体"/>
          <w:color w:val="auto"/>
          <w:lang w:eastAsia="zh-CN"/>
        </w:rPr>
        <w:t>（</w:t>
      </w:r>
      <w:r>
        <w:rPr>
          <w:rFonts w:hint="eastAsia" w:ascii="宋体" w:hAnsi="宋体"/>
          <w:b/>
          <w:color w:val="auto"/>
          <w:lang w:eastAsia="zh-CN"/>
        </w:rPr>
        <w:t>内容参照评审办法技术标，格式由供应商自拟</w:t>
      </w:r>
      <w:r>
        <w:rPr>
          <w:rFonts w:hint="eastAsia" w:ascii="宋体" w:hAnsi="宋体" w:cs="宋体"/>
          <w:color w:val="auto"/>
          <w:lang w:eastAsia="zh-CN"/>
        </w:rPr>
        <w:t>）</w:t>
      </w:r>
    </w:p>
    <w:p w14:paraId="62D8FD33">
      <w:pPr>
        <w:numPr>
          <w:ilvl w:val="0"/>
          <w:numId w:val="0"/>
        </w:numPr>
        <w:rPr>
          <w:lang w:eastAsia="zh-CN"/>
        </w:rPr>
      </w:pPr>
    </w:p>
    <w:p w14:paraId="242F431F">
      <w:pPr>
        <w:pStyle w:val="2"/>
        <w:ind w:firstLine="538" w:firstLineChars="192"/>
        <w:jc w:val="center"/>
        <w:rPr>
          <w:rFonts w:hint="eastAsia" w:ascii="宋体" w:hAnsi="宋体" w:cs="宋体"/>
          <w:b/>
          <w:color w:val="auto"/>
          <w:sz w:val="28"/>
          <w:szCs w:val="28"/>
          <w:lang w:val="en-US" w:eastAsia="zh-CN"/>
        </w:rPr>
      </w:pPr>
    </w:p>
    <w:p w14:paraId="6086B1A4">
      <w:pPr>
        <w:pStyle w:val="2"/>
        <w:ind w:firstLine="538" w:firstLineChars="192"/>
        <w:jc w:val="center"/>
        <w:rPr>
          <w:rFonts w:hint="eastAsia" w:ascii="宋体" w:hAnsi="宋体" w:cs="宋体"/>
          <w:b/>
          <w:color w:val="auto"/>
          <w:sz w:val="28"/>
          <w:szCs w:val="28"/>
          <w:lang w:val="en-US" w:eastAsia="zh-CN"/>
        </w:rPr>
      </w:pPr>
    </w:p>
    <w:p w14:paraId="2FF140EE">
      <w:pPr>
        <w:pStyle w:val="2"/>
        <w:ind w:firstLine="538" w:firstLineChars="192"/>
        <w:jc w:val="center"/>
        <w:rPr>
          <w:rFonts w:hint="eastAsia" w:ascii="宋体" w:hAnsi="宋体" w:cs="宋体"/>
          <w:b/>
          <w:color w:val="auto"/>
          <w:sz w:val="28"/>
          <w:szCs w:val="28"/>
          <w:lang w:val="en-US" w:eastAsia="zh-CN"/>
        </w:rPr>
      </w:pPr>
    </w:p>
    <w:p w14:paraId="72C1A9BC">
      <w:pPr>
        <w:pStyle w:val="2"/>
        <w:ind w:firstLine="538" w:firstLineChars="192"/>
        <w:jc w:val="center"/>
        <w:rPr>
          <w:rFonts w:hint="eastAsia" w:ascii="宋体" w:hAnsi="宋体" w:cs="宋体"/>
          <w:b/>
          <w:color w:val="auto"/>
          <w:sz w:val="28"/>
          <w:szCs w:val="28"/>
          <w:lang w:val="en-US" w:eastAsia="zh-CN"/>
        </w:rPr>
      </w:pPr>
    </w:p>
    <w:p w14:paraId="2C05A8B2">
      <w:pPr>
        <w:pStyle w:val="2"/>
        <w:ind w:firstLine="538" w:firstLineChars="192"/>
        <w:jc w:val="center"/>
        <w:rPr>
          <w:rFonts w:hint="eastAsia" w:ascii="宋体" w:hAnsi="宋体" w:cs="宋体"/>
          <w:b/>
          <w:color w:val="auto"/>
          <w:sz w:val="28"/>
          <w:szCs w:val="28"/>
          <w:lang w:val="en-US" w:eastAsia="zh-CN"/>
        </w:rPr>
      </w:pPr>
    </w:p>
    <w:p w14:paraId="2E35B48A">
      <w:pPr>
        <w:pStyle w:val="2"/>
        <w:ind w:firstLine="538" w:firstLineChars="192"/>
        <w:jc w:val="center"/>
        <w:rPr>
          <w:rFonts w:hint="eastAsia" w:ascii="宋体" w:hAnsi="宋体" w:cs="宋体"/>
          <w:b/>
          <w:color w:val="auto"/>
          <w:sz w:val="28"/>
          <w:szCs w:val="28"/>
          <w:lang w:val="en-US" w:eastAsia="zh-CN"/>
        </w:rPr>
      </w:pPr>
    </w:p>
    <w:p w14:paraId="05BB4E6A">
      <w:pPr>
        <w:pStyle w:val="2"/>
        <w:ind w:firstLine="538" w:firstLineChars="192"/>
        <w:jc w:val="center"/>
        <w:rPr>
          <w:rFonts w:hint="eastAsia" w:ascii="宋体" w:hAnsi="宋体" w:cs="宋体"/>
          <w:b/>
          <w:color w:val="auto"/>
          <w:sz w:val="28"/>
          <w:szCs w:val="28"/>
          <w:lang w:val="en-US" w:eastAsia="zh-CN"/>
        </w:rPr>
      </w:pPr>
    </w:p>
    <w:p w14:paraId="7349860A">
      <w:pPr>
        <w:pStyle w:val="2"/>
        <w:ind w:firstLine="538" w:firstLineChars="192"/>
        <w:jc w:val="center"/>
        <w:rPr>
          <w:rFonts w:hint="eastAsia" w:ascii="宋体" w:hAnsi="宋体" w:cs="宋体"/>
          <w:b/>
          <w:color w:val="auto"/>
          <w:sz w:val="28"/>
          <w:szCs w:val="28"/>
          <w:lang w:val="en-US" w:eastAsia="zh-CN"/>
        </w:rPr>
      </w:pPr>
    </w:p>
    <w:p w14:paraId="56EE369B">
      <w:pPr>
        <w:pStyle w:val="2"/>
        <w:ind w:firstLine="538" w:firstLineChars="192"/>
        <w:jc w:val="center"/>
        <w:rPr>
          <w:rFonts w:hint="eastAsia" w:ascii="宋体" w:hAnsi="宋体" w:cs="宋体"/>
          <w:b/>
          <w:color w:val="auto"/>
          <w:sz w:val="28"/>
          <w:szCs w:val="28"/>
          <w:lang w:val="en-US" w:eastAsia="zh-CN"/>
        </w:rPr>
      </w:pPr>
    </w:p>
    <w:p w14:paraId="0D4955FA">
      <w:pPr>
        <w:pStyle w:val="2"/>
        <w:ind w:firstLine="538" w:firstLineChars="192"/>
        <w:jc w:val="center"/>
        <w:rPr>
          <w:rFonts w:hint="eastAsia" w:ascii="宋体" w:hAnsi="宋体" w:cs="宋体"/>
          <w:b/>
          <w:color w:val="auto"/>
          <w:sz w:val="28"/>
          <w:szCs w:val="28"/>
          <w:lang w:val="en-US" w:eastAsia="zh-CN"/>
        </w:rPr>
      </w:pPr>
    </w:p>
    <w:p w14:paraId="1407732C">
      <w:pPr>
        <w:pStyle w:val="2"/>
        <w:ind w:firstLine="538" w:firstLineChars="192"/>
        <w:jc w:val="center"/>
        <w:rPr>
          <w:rFonts w:hint="eastAsia" w:ascii="宋体" w:hAnsi="宋体" w:cs="宋体"/>
          <w:b/>
          <w:color w:val="auto"/>
          <w:sz w:val="28"/>
          <w:szCs w:val="28"/>
          <w:lang w:val="en-US" w:eastAsia="zh-CN"/>
        </w:rPr>
      </w:pPr>
    </w:p>
    <w:p w14:paraId="526148DD">
      <w:pPr>
        <w:pStyle w:val="2"/>
        <w:ind w:firstLine="538" w:firstLineChars="192"/>
        <w:jc w:val="center"/>
        <w:rPr>
          <w:rFonts w:hint="eastAsia" w:ascii="宋体" w:hAnsi="宋体" w:cs="宋体"/>
          <w:b/>
          <w:color w:val="auto"/>
          <w:sz w:val="28"/>
          <w:szCs w:val="28"/>
          <w:lang w:val="en-US" w:eastAsia="zh-CN"/>
        </w:rPr>
      </w:pPr>
    </w:p>
    <w:p w14:paraId="743817B0">
      <w:pPr>
        <w:pStyle w:val="2"/>
        <w:ind w:firstLine="538" w:firstLineChars="192"/>
        <w:jc w:val="center"/>
        <w:rPr>
          <w:rFonts w:hint="eastAsia" w:ascii="宋体" w:hAnsi="宋体" w:cs="宋体"/>
          <w:b/>
          <w:color w:val="auto"/>
          <w:sz w:val="28"/>
          <w:szCs w:val="28"/>
          <w:lang w:val="en-US" w:eastAsia="zh-CN"/>
        </w:rPr>
      </w:pPr>
    </w:p>
    <w:p w14:paraId="38B99D45">
      <w:pPr>
        <w:pStyle w:val="2"/>
        <w:ind w:firstLine="538" w:firstLineChars="192"/>
        <w:jc w:val="center"/>
        <w:rPr>
          <w:rFonts w:hint="eastAsia" w:ascii="宋体" w:hAnsi="宋体" w:cs="宋体"/>
          <w:b/>
          <w:color w:val="auto"/>
          <w:sz w:val="28"/>
          <w:szCs w:val="28"/>
          <w:lang w:val="en-US" w:eastAsia="zh-CN"/>
        </w:rPr>
      </w:pPr>
    </w:p>
    <w:p w14:paraId="1305F830">
      <w:pPr>
        <w:pStyle w:val="2"/>
        <w:ind w:firstLine="538" w:firstLineChars="192"/>
        <w:jc w:val="center"/>
        <w:rPr>
          <w:rFonts w:hint="eastAsia" w:ascii="宋体" w:hAnsi="宋体" w:cs="宋体"/>
          <w:b/>
          <w:color w:val="auto"/>
          <w:sz w:val="28"/>
          <w:szCs w:val="28"/>
          <w:lang w:val="en-US" w:eastAsia="zh-CN"/>
        </w:rPr>
      </w:pPr>
    </w:p>
    <w:p w14:paraId="32472C98">
      <w:pPr>
        <w:pStyle w:val="2"/>
        <w:ind w:firstLine="538" w:firstLineChars="192"/>
        <w:jc w:val="center"/>
        <w:rPr>
          <w:rFonts w:hint="eastAsia" w:ascii="宋体" w:hAnsi="宋体" w:cs="宋体"/>
          <w:b/>
          <w:color w:val="auto"/>
          <w:sz w:val="28"/>
          <w:szCs w:val="28"/>
          <w:lang w:val="en-US" w:eastAsia="zh-CN"/>
        </w:rPr>
      </w:pPr>
    </w:p>
    <w:p w14:paraId="0F90A23F">
      <w:pPr>
        <w:pStyle w:val="2"/>
        <w:ind w:firstLine="538" w:firstLineChars="192"/>
        <w:jc w:val="center"/>
        <w:rPr>
          <w:rFonts w:hint="eastAsia" w:ascii="宋体" w:hAnsi="宋体" w:cs="宋体"/>
          <w:b/>
          <w:color w:val="auto"/>
          <w:sz w:val="28"/>
          <w:szCs w:val="28"/>
          <w:lang w:val="en-US" w:eastAsia="zh-CN"/>
        </w:rPr>
      </w:pPr>
    </w:p>
    <w:p w14:paraId="3AC1B83F">
      <w:pPr>
        <w:pStyle w:val="2"/>
        <w:ind w:firstLine="538" w:firstLineChars="192"/>
        <w:jc w:val="center"/>
        <w:rPr>
          <w:rFonts w:hint="eastAsia" w:ascii="宋体" w:hAnsi="宋体" w:cs="宋体"/>
          <w:b/>
          <w:color w:val="auto"/>
          <w:sz w:val="28"/>
          <w:szCs w:val="28"/>
          <w:lang w:val="en-US" w:eastAsia="zh-CN"/>
        </w:rPr>
      </w:pPr>
    </w:p>
    <w:p w14:paraId="12E462D4">
      <w:pPr>
        <w:pStyle w:val="2"/>
        <w:ind w:firstLine="538" w:firstLineChars="192"/>
        <w:jc w:val="center"/>
        <w:rPr>
          <w:rFonts w:hint="eastAsia" w:ascii="宋体" w:hAnsi="宋体" w:cs="宋体"/>
          <w:b/>
          <w:color w:val="auto"/>
          <w:sz w:val="28"/>
          <w:szCs w:val="28"/>
          <w:lang w:val="en-US" w:eastAsia="zh-CN"/>
        </w:rPr>
      </w:pPr>
    </w:p>
    <w:p w14:paraId="2A5002BE">
      <w:pPr>
        <w:pStyle w:val="2"/>
        <w:ind w:firstLine="538" w:firstLineChars="192"/>
        <w:jc w:val="center"/>
        <w:rPr>
          <w:rFonts w:hint="eastAsia" w:ascii="宋体" w:hAnsi="宋体" w:cs="宋体"/>
          <w:b/>
          <w:color w:val="auto"/>
          <w:sz w:val="28"/>
          <w:szCs w:val="28"/>
          <w:lang w:val="en-US" w:eastAsia="zh-CN"/>
        </w:rPr>
      </w:pPr>
    </w:p>
    <w:p w14:paraId="7EE58CF1">
      <w:pPr>
        <w:pStyle w:val="2"/>
        <w:ind w:firstLine="538" w:firstLineChars="192"/>
        <w:jc w:val="center"/>
        <w:rPr>
          <w:rFonts w:hint="eastAsia" w:ascii="宋体" w:hAnsi="宋体" w:cs="宋体"/>
          <w:b/>
          <w:color w:val="auto"/>
          <w:sz w:val="28"/>
          <w:szCs w:val="28"/>
          <w:lang w:val="en-US" w:eastAsia="zh-CN"/>
        </w:rPr>
      </w:pPr>
    </w:p>
    <w:p w14:paraId="0DC21425">
      <w:pPr>
        <w:pStyle w:val="2"/>
        <w:ind w:firstLine="538" w:firstLineChars="192"/>
        <w:jc w:val="center"/>
        <w:rPr>
          <w:rFonts w:hint="eastAsia" w:ascii="宋体" w:hAnsi="宋体" w:cs="宋体"/>
          <w:b/>
          <w:color w:val="auto"/>
          <w:sz w:val="28"/>
          <w:szCs w:val="28"/>
          <w:lang w:val="en-US" w:eastAsia="zh-CN"/>
        </w:rPr>
      </w:pPr>
    </w:p>
    <w:p w14:paraId="52CBE0B6">
      <w:pPr>
        <w:pStyle w:val="2"/>
        <w:ind w:firstLine="538" w:firstLineChars="192"/>
        <w:jc w:val="center"/>
        <w:rPr>
          <w:rFonts w:hint="eastAsia" w:ascii="宋体" w:hAnsi="宋体" w:cs="宋体"/>
          <w:b/>
          <w:color w:val="auto"/>
          <w:sz w:val="28"/>
          <w:szCs w:val="28"/>
          <w:lang w:val="en-US" w:eastAsia="zh-CN"/>
        </w:rPr>
      </w:pPr>
    </w:p>
    <w:p w14:paraId="2B4FFF1D">
      <w:pPr>
        <w:pStyle w:val="2"/>
        <w:ind w:firstLine="538" w:firstLineChars="192"/>
        <w:jc w:val="center"/>
        <w:rPr>
          <w:rFonts w:hint="eastAsia" w:ascii="宋体" w:hAnsi="宋体" w:cs="宋体"/>
          <w:b/>
          <w:color w:val="auto"/>
          <w:sz w:val="28"/>
          <w:szCs w:val="28"/>
          <w:lang w:val="en-US" w:eastAsia="zh-CN"/>
        </w:rPr>
      </w:pPr>
    </w:p>
    <w:p w14:paraId="140BF154">
      <w:pPr>
        <w:pStyle w:val="2"/>
        <w:ind w:firstLine="538" w:firstLineChars="192"/>
        <w:jc w:val="center"/>
        <w:rPr>
          <w:rFonts w:hint="eastAsia" w:ascii="宋体" w:hAnsi="宋体" w:cs="宋体"/>
          <w:b/>
          <w:color w:val="auto"/>
          <w:sz w:val="28"/>
          <w:szCs w:val="28"/>
          <w:lang w:val="en-US" w:eastAsia="zh-CN"/>
        </w:rPr>
      </w:pPr>
    </w:p>
    <w:p w14:paraId="643F4464">
      <w:pPr>
        <w:pStyle w:val="2"/>
        <w:ind w:firstLine="538" w:firstLineChars="192"/>
        <w:jc w:val="center"/>
        <w:rPr>
          <w:rFonts w:hint="eastAsia" w:ascii="宋体" w:hAnsi="宋体" w:cs="宋体"/>
          <w:b/>
          <w:color w:val="auto"/>
          <w:sz w:val="28"/>
          <w:szCs w:val="28"/>
          <w:lang w:val="en-US" w:eastAsia="zh-CN"/>
        </w:rPr>
      </w:pPr>
    </w:p>
    <w:p w14:paraId="50ABCC9B">
      <w:pPr>
        <w:pStyle w:val="2"/>
        <w:ind w:firstLine="538" w:firstLineChars="192"/>
        <w:jc w:val="center"/>
        <w:rPr>
          <w:rFonts w:hint="eastAsia" w:ascii="宋体" w:hAnsi="宋体" w:cs="宋体"/>
          <w:b/>
          <w:color w:val="auto"/>
          <w:sz w:val="28"/>
          <w:szCs w:val="28"/>
          <w:lang w:val="en-US" w:eastAsia="zh-CN"/>
        </w:rPr>
      </w:pPr>
    </w:p>
    <w:p w14:paraId="2FBBD050">
      <w:pPr>
        <w:pStyle w:val="2"/>
        <w:ind w:firstLine="538" w:firstLineChars="192"/>
        <w:jc w:val="center"/>
        <w:rPr>
          <w:rFonts w:hint="eastAsia" w:ascii="宋体" w:hAnsi="宋体" w:cs="宋体"/>
          <w:b/>
          <w:color w:val="auto"/>
          <w:sz w:val="28"/>
          <w:szCs w:val="28"/>
          <w:lang w:val="en-US" w:eastAsia="zh-CN"/>
        </w:rPr>
      </w:pPr>
    </w:p>
    <w:p w14:paraId="02482B48">
      <w:pPr>
        <w:pStyle w:val="2"/>
        <w:ind w:firstLine="538" w:firstLineChars="192"/>
        <w:jc w:val="center"/>
        <w:rPr>
          <w:rFonts w:hint="eastAsia" w:ascii="宋体" w:hAnsi="宋体" w:cs="宋体"/>
          <w:b/>
          <w:color w:val="auto"/>
          <w:sz w:val="28"/>
          <w:szCs w:val="28"/>
          <w:lang w:val="en-US" w:eastAsia="zh-CN"/>
        </w:rPr>
      </w:pPr>
    </w:p>
    <w:p w14:paraId="0144D705">
      <w:pPr>
        <w:pStyle w:val="2"/>
        <w:ind w:firstLine="538" w:firstLineChars="192"/>
        <w:jc w:val="center"/>
        <w:rPr>
          <w:rFonts w:hint="eastAsia" w:ascii="宋体" w:hAnsi="宋体" w:cs="宋体"/>
          <w:b/>
          <w:color w:val="auto"/>
          <w:sz w:val="28"/>
          <w:szCs w:val="28"/>
          <w:lang w:val="en-US" w:eastAsia="zh-CN"/>
        </w:rPr>
      </w:pPr>
    </w:p>
    <w:p w14:paraId="5046E279">
      <w:pPr>
        <w:pStyle w:val="2"/>
        <w:ind w:firstLine="538" w:firstLineChars="192"/>
        <w:jc w:val="center"/>
        <w:rPr>
          <w:rFonts w:hint="eastAsia" w:ascii="宋体" w:hAnsi="宋体" w:cs="宋体"/>
          <w:b/>
          <w:color w:val="auto"/>
          <w:sz w:val="28"/>
          <w:szCs w:val="28"/>
          <w:lang w:val="en-US" w:eastAsia="zh-CN"/>
        </w:rPr>
      </w:pPr>
    </w:p>
    <w:p w14:paraId="54DD07F6">
      <w:pPr>
        <w:pStyle w:val="2"/>
        <w:ind w:firstLine="538" w:firstLineChars="192"/>
        <w:jc w:val="center"/>
        <w:rPr>
          <w:rFonts w:hint="eastAsia" w:ascii="宋体" w:hAnsi="宋体" w:cs="宋体"/>
          <w:b/>
          <w:color w:val="auto"/>
          <w:sz w:val="28"/>
          <w:szCs w:val="28"/>
          <w:lang w:val="en-US" w:eastAsia="zh-CN"/>
        </w:rPr>
      </w:pPr>
    </w:p>
    <w:p w14:paraId="7CCBD8C0">
      <w:pPr>
        <w:pStyle w:val="2"/>
        <w:ind w:firstLine="538" w:firstLineChars="192"/>
        <w:jc w:val="center"/>
        <w:rPr>
          <w:rFonts w:hint="eastAsia" w:ascii="宋体" w:hAnsi="宋体" w:cs="宋体"/>
          <w:b/>
          <w:color w:val="auto"/>
          <w:sz w:val="28"/>
          <w:szCs w:val="28"/>
          <w:lang w:val="en-US" w:eastAsia="zh-CN"/>
        </w:rPr>
      </w:pPr>
    </w:p>
    <w:p w14:paraId="4B322AF9">
      <w:pPr>
        <w:pStyle w:val="2"/>
        <w:ind w:firstLine="538" w:firstLineChars="192"/>
        <w:jc w:val="center"/>
        <w:rPr>
          <w:rFonts w:hint="eastAsia" w:ascii="宋体" w:hAnsi="宋体" w:cs="宋体"/>
          <w:b/>
          <w:color w:val="auto"/>
          <w:sz w:val="28"/>
          <w:szCs w:val="28"/>
          <w:lang w:val="en-US" w:eastAsia="zh-CN"/>
        </w:rPr>
      </w:pPr>
    </w:p>
    <w:p w14:paraId="4EC7EE8F">
      <w:pPr>
        <w:pStyle w:val="2"/>
        <w:ind w:firstLine="538" w:firstLineChars="192"/>
        <w:jc w:val="center"/>
        <w:rPr>
          <w:rFonts w:hint="eastAsia" w:ascii="宋体" w:hAnsi="宋体" w:cs="宋体"/>
          <w:b/>
          <w:color w:val="auto"/>
          <w:sz w:val="28"/>
          <w:szCs w:val="28"/>
          <w:lang w:val="en-US" w:eastAsia="zh-CN"/>
        </w:rPr>
      </w:pPr>
    </w:p>
    <w:p w14:paraId="3D30FB52">
      <w:pPr>
        <w:pStyle w:val="2"/>
        <w:ind w:firstLine="538" w:firstLineChars="192"/>
        <w:jc w:val="center"/>
        <w:rPr>
          <w:rStyle w:val="39"/>
          <w:color w:val="auto"/>
          <w:lang w:eastAsia="zh-CN"/>
        </w:rPr>
      </w:pPr>
      <w:r>
        <w:rPr>
          <w:rFonts w:hint="eastAsia" w:ascii="宋体" w:hAnsi="宋体" w:cs="宋体"/>
          <w:b/>
          <w:color w:val="auto"/>
          <w:sz w:val="28"/>
          <w:szCs w:val="28"/>
          <w:lang w:val="en-US" w:eastAsia="zh-CN"/>
        </w:rPr>
        <w:t>八</w:t>
      </w:r>
      <w:r>
        <w:rPr>
          <w:rStyle w:val="39"/>
          <w:rFonts w:hint="eastAsia"/>
          <w:color w:val="auto"/>
          <w:lang w:eastAsia="zh-CN"/>
        </w:rPr>
        <w:t>、服务承诺</w:t>
      </w:r>
    </w:p>
    <w:bookmarkEnd w:id="1035"/>
    <w:bookmarkEnd w:id="1036"/>
    <w:p w14:paraId="04431165">
      <w:pPr>
        <w:ind w:firstLine="420"/>
        <w:jc w:val="center"/>
        <w:rPr>
          <w:rFonts w:ascii="宋体" w:hAnsi="宋体" w:cs="宋体"/>
          <w:color w:val="auto"/>
          <w:lang w:eastAsia="zh-CN"/>
        </w:rPr>
      </w:pPr>
      <w:r>
        <w:rPr>
          <w:rFonts w:hint="eastAsia" w:ascii="宋体" w:hAnsi="宋体" w:cs="宋体"/>
          <w:color w:val="auto"/>
          <w:lang w:eastAsia="zh-CN"/>
        </w:rPr>
        <w:t>（</w:t>
      </w:r>
      <w:r>
        <w:rPr>
          <w:rFonts w:hint="eastAsia" w:ascii="宋体" w:hAnsi="宋体"/>
          <w:b/>
          <w:color w:val="auto"/>
          <w:lang w:eastAsia="zh-CN"/>
        </w:rPr>
        <w:t>内容参照评审办法技术标,格式由供应商自拟</w:t>
      </w:r>
      <w:r>
        <w:rPr>
          <w:rFonts w:hint="eastAsia" w:ascii="宋体" w:hAnsi="宋体" w:cs="宋体"/>
          <w:color w:val="auto"/>
          <w:lang w:eastAsia="zh-CN"/>
        </w:rPr>
        <w:t>）</w:t>
      </w:r>
    </w:p>
    <w:p w14:paraId="215FC29B">
      <w:pPr>
        <w:pStyle w:val="2"/>
        <w:ind w:firstLine="3362" w:firstLineChars="1200"/>
        <w:rPr>
          <w:b/>
          <w:color w:val="auto"/>
          <w:sz w:val="28"/>
          <w:szCs w:val="28"/>
          <w:lang w:eastAsia="zh-CN"/>
        </w:rPr>
      </w:pPr>
    </w:p>
    <w:p w14:paraId="74FD8486">
      <w:pPr>
        <w:pStyle w:val="41"/>
        <w:spacing w:line="520" w:lineRule="exact"/>
        <w:ind w:firstLine="480"/>
        <w:rPr>
          <w:rFonts w:ascii="宋体" w:hAnsi="宋体" w:eastAsia="宋体"/>
          <w:bCs/>
          <w:color w:val="auto"/>
          <w:sz w:val="24"/>
          <w:szCs w:val="24"/>
          <w:lang w:eastAsia="zh-CN"/>
        </w:rPr>
      </w:pPr>
    </w:p>
    <w:p w14:paraId="204E6B2B">
      <w:pPr>
        <w:ind w:firstLine="420"/>
        <w:jc w:val="center"/>
        <w:rPr>
          <w:rFonts w:ascii="Times New Roman" w:hAnsi="Times New Roman"/>
          <w:color w:val="auto"/>
          <w:sz w:val="28"/>
          <w:lang w:eastAsia="zh-CN"/>
        </w:rPr>
      </w:pPr>
      <w:r>
        <w:rPr>
          <w:color w:val="auto"/>
          <w:lang w:eastAsia="zh-CN"/>
        </w:rPr>
        <w:br w:type="page"/>
      </w:r>
      <w:bookmarkStart w:id="1037" w:name="_Toc26435"/>
      <w:bookmarkStart w:id="1038" w:name="_Toc23796"/>
      <w:bookmarkStart w:id="1039" w:name="_Toc11835"/>
      <w:r>
        <w:rPr>
          <w:rStyle w:val="39"/>
          <w:rFonts w:hint="eastAsia" w:eastAsia="宋体" w:cs="Times New Roman"/>
          <w:color w:val="auto"/>
          <w:lang w:val="en-US" w:eastAsia="zh-CN"/>
        </w:rPr>
        <w:t>九</w:t>
      </w:r>
      <w:r>
        <w:rPr>
          <w:rStyle w:val="39"/>
          <w:rFonts w:hint="eastAsia" w:eastAsia="宋体" w:cs="Times New Roman"/>
          <w:color w:val="auto"/>
          <w:lang w:eastAsia="zh-CN"/>
        </w:rPr>
        <w:t>、资格</w:t>
      </w:r>
      <w:bookmarkEnd w:id="1026"/>
      <w:bookmarkEnd w:id="1027"/>
      <w:r>
        <w:rPr>
          <w:rStyle w:val="39"/>
          <w:rFonts w:hint="eastAsia" w:eastAsia="宋体" w:cs="Times New Roman"/>
          <w:color w:val="auto"/>
          <w:lang w:eastAsia="zh-CN"/>
        </w:rPr>
        <w:t>证明材料</w:t>
      </w:r>
      <w:bookmarkEnd w:id="1037"/>
      <w:bookmarkEnd w:id="1038"/>
      <w:bookmarkEnd w:id="1039"/>
    </w:p>
    <w:p w14:paraId="239E376A">
      <w:pPr>
        <w:spacing w:beforeLines="100" w:afterLines="50"/>
        <w:ind w:firstLine="422"/>
        <w:rPr>
          <w:rFonts w:ascii="宋体" w:hAnsi="宋体"/>
          <w:b/>
          <w:color w:val="auto"/>
          <w:lang w:eastAsia="zh-CN"/>
        </w:rPr>
      </w:pPr>
      <w:bookmarkStart w:id="1040" w:name="_Toc456185719"/>
      <w:r>
        <w:rPr>
          <w:rFonts w:hint="eastAsia" w:ascii="宋体" w:hAnsi="宋体"/>
          <w:b/>
          <w:color w:val="auto"/>
          <w:lang w:eastAsia="zh-CN"/>
        </w:rPr>
        <w:t>1、供应商基本情况表</w:t>
      </w:r>
      <w:bookmarkEnd w:id="1040"/>
    </w:p>
    <w:tbl>
      <w:tblPr>
        <w:tblStyle w:val="24"/>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3055"/>
        <w:gridCol w:w="1089"/>
        <w:gridCol w:w="2329"/>
      </w:tblGrid>
      <w:tr w14:paraId="5F69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0" w:type="dxa"/>
            <w:vAlign w:val="center"/>
          </w:tcPr>
          <w:p w14:paraId="5AA37B73">
            <w:pPr>
              <w:spacing w:line="400" w:lineRule="exact"/>
              <w:jc w:val="center"/>
              <w:rPr>
                <w:rFonts w:ascii="宋体" w:hAnsi="宋体" w:cs="宋体"/>
                <w:color w:val="auto"/>
              </w:rPr>
            </w:pPr>
            <w:r>
              <w:rPr>
                <w:rFonts w:hint="eastAsia" w:ascii="宋体" w:hAnsi="宋体" w:cs="宋体"/>
                <w:color w:val="auto"/>
              </w:rPr>
              <w:t>供应商</w:t>
            </w:r>
          </w:p>
        </w:tc>
        <w:tc>
          <w:tcPr>
            <w:tcW w:w="7550" w:type="dxa"/>
            <w:gridSpan w:val="4"/>
          </w:tcPr>
          <w:p w14:paraId="4B56C167">
            <w:pPr>
              <w:spacing w:line="400" w:lineRule="exact"/>
              <w:ind w:firstLine="420"/>
              <w:rPr>
                <w:rFonts w:ascii="宋体" w:hAnsi="宋体" w:cs="宋体"/>
                <w:color w:val="auto"/>
              </w:rPr>
            </w:pPr>
          </w:p>
        </w:tc>
      </w:tr>
      <w:tr w14:paraId="2A99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2188EC8E">
            <w:pPr>
              <w:spacing w:line="400" w:lineRule="exact"/>
              <w:jc w:val="center"/>
              <w:rPr>
                <w:rFonts w:ascii="宋体" w:hAnsi="宋体" w:cs="宋体"/>
                <w:color w:val="auto"/>
              </w:rPr>
            </w:pPr>
            <w:r>
              <w:rPr>
                <w:rFonts w:hint="eastAsia" w:ascii="宋体" w:hAnsi="宋体" w:cs="宋体"/>
                <w:color w:val="auto"/>
              </w:rPr>
              <w:t>注册地址</w:t>
            </w:r>
          </w:p>
        </w:tc>
        <w:tc>
          <w:tcPr>
            <w:tcW w:w="4132" w:type="dxa"/>
            <w:gridSpan w:val="2"/>
          </w:tcPr>
          <w:p w14:paraId="2C8C152E">
            <w:pPr>
              <w:spacing w:line="400" w:lineRule="exact"/>
              <w:ind w:firstLine="420"/>
              <w:rPr>
                <w:rFonts w:ascii="宋体" w:hAnsi="宋体" w:cs="宋体"/>
                <w:color w:val="auto"/>
              </w:rPr>
            </w:pPr>
          </w:p>
        </w:tc>
        <w:tc>
          <w:tcPr>
            <w:tcW w:w="1089" w:type="dxa"/>
          </w:tcPr>
          <w:p w14:paraId="1BE5E9D0">
            <w:pPr>
              <w:spacing w:line="400" w:lineRule="exact"/>
              <w:rPr>
                <w:rFonts w:ascii="宋体" w:hAnsi="宋体" w:cs="宋体"/>
                <w:color w:val="auto"/>
              </w:rPr>
            </w:pPr>
            <w:r>
              <w:rPr>
                <w:rFonts w:hint="eastAsia" w:ascii="宋体" w:hAnsi="宋体" w:cs="宋体"/>
                <w:color w:val="auto"/>
              </w:rPr>
              <w:t>邮政编码</w:t>
            </w:r>
          </w:p>
        </w:tc>
        <w:tc>
          <w:tcPr>
            <w:tcW w:w="2329" w:type="dxa"/>
          </w:tcPr>
          <w:p w14:paraId="060BD3EB">
            <w:pPr>
              <w:spacing w:line="400" w:lineRule="exact"/>
              <w:ind w:firstLine="420"/>
              <w:rPr>
                <w:rFonts w:ascii="宋体" w:hAnsi="宋体" w:cs="宋体"/>
                <w:color w:val="auto"/>
              </w:rPr>
            </w:pPr>
          </w:p>
        </w:tc>
      </w:tr>
      <w:tr w14:paraId="7806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7DCBE48">
            <w:pPr>
              <w:spacing w:line="400" w:lineRule="exact"/>
              <w:jc w:val="center"/>
              <w:rPr>
                <w:rFonts w:ascii="宋体" w:hAnsi="宋体" w:cs="宋体"/>
                <w:color w:val="auto"/>
              </w:rPr>
            </w:pPr>
            <w:r>
              <w:rPr>
                <w:rFonts w:hint="eastAsia" w:ascii="宋体" w:hAnsi="宋体" w:cs="宋体"/>
                <w:color w:val="auto"/>
              </w:rPr>
              <w:t>注册资金</w:t>
            </w:r>
          </w:p>
        </w:tc>
        <w:tc>
          <w:tcPr>
            <w:tcW w:w="4132" w:type="dxa"/>
            <w:gridSpan w:val="2"/>
          </w:tcPr>
          <w:p w14:paraId="5CDFF553">
            <w:pPr>
              <w:spacing w:line="400" w:lineRule="exact"/>
              <w:ind w:firstLine="420"/>
              <w:rPr>
                <w:rFonts w:ascii="宋体" w:hAnsi="宋体" w:cs="宋体"/>
                <w:color w:val="auto"/>
              </w:rPr>
            </w:pPr>
          </w:p>
        </w:tc>
        <w:tc>
          <w:tcPr>
            <w:tcW w:w="1089" w:type="dxa"/>
          </w:tcPr>
          <w:p w14:paraId="62114B24">
            <w:pPr>
              <w:spacing w:line="400" w:lineRule="exact"/>
              <w:rPr>
                <w:rFonts w:ascii="宋体" w:hAnsi="宋体" w:cs="宋体"/>
                <w:color w:val="auto"/>
              </w:rPr>
            </w:pPr>
            <w:r>
              <w:rPr>
                <w:rFonts w:hint="eastAsia" w:ascii="宋体" w:hAnsi="宋体" w:cs="宋体"/>
                <w:color w:val="auto"/>
              </w:rPr>
              <w:t>成立时间</w:t>
            </w:r>
          </w:p>
        </w:tc>
        <w:tc>
          <w:tcPr>
            <w:tcW w:w="2329" w:type="dxa"/>
          </w:tcPr>
          <w:p w14:paraId="3C842FC1">
            <w:pPr>
              <w:spacing w:line="400" w:lineRule="exact"/>
              <w:ind w:firstLine="420"/>
              <w:rPr>
                <w:rFonts w:ascii="宋体" w:hAnsi="宋体" w:cs="宋体"/>
                <w:color w:val="auto"/>
              </w:rPr>
            </w:pPr>
          </w:p>
        </w:tc>
      </w:tr>
      <w:tr w14:paraId="3460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Align w:val="center"/>
          </w:tcPr>
          <w:p w14:paraId="2A5F5D0A">
            <w:pPr>
              <w:spacing w:line="400" w:lineRule="exact"/>
              <w:jc w:val="center"/>
              <w:rPr>
                <w:rFonts w:ascii="宋体" w:hAnsi="宋体" w:cs="宋体"/>
                <w:color w:val="auto"/>
              </w:rPr>
            </w:pPr>
            <w:r>
              <w:rPr>
                <w:rFonts w:hint="eastAsia" w:ascii="宋体" w:hAnsi="宋体" w:cs="宋体"/>
                <w:color w:val="auto"/>
              </w:rPr>
              <w:t>联系方式</w:t>
            </w:r>
          </w:p>
        </w:tc>
        <w:tc>
          <w:tcPr>
            <w:tcW w:w="1077" w:type="dxa"/>
          </w:tcPr>
          <w:p w14:paraId="0AB61F97">
            <w:pPr>
              <w:spacing w:line="400" w:lineRule="exact"/>
              <w:rPr>
                <w:rFonts w:ascii="宋体" w:hAnsi="宋体" w:cs="宋体"/>
                <w:color w:val="auto"/>
              </w:rPr>
            </w:pPr>
            <w:r>
              <w:rPr>
                <w:rFonts w:hint="eastAsia" w:ascii="宋体" w:hAnsi="宋体" w:cs="宋体"/>
                <w:color w:val="auto"/>
              </w:rPr>
              <w:t>联系人</w:t>
            </w:r>
          </w:p>
        </w:tc>
        <w:tc>
          <w:tcPr>
            <w:tcW w:w="3055" w:type="dxa"/>
          </w:tcPr>
          <w:p w14:paraId="19588E9D">
            <w:pPr>
              <w:spacing w:line="400" w:lineRule="exact"/>
              <w:ind w:firstLine="420"/>
              <w:rPr>
                <w:rFonts w:ascii="宋体" w:hAnsi="宋体" w:cs="宋体"/>
                <w:color w:val="auto"/>
              </w:rPr>
            </w:pPr>
          </w:p>
        </w:tc>
        <w:tc>
          <w:tcPr>
            <w:tcW w:w="1089" w:type="dxa"/>
          </w:tcPr>
          <w:p w14:paraId="799694F3">
            <w:pPr>
              <w:spacing w:line="400" w:lineRule="exact"/>
              <w:rPr>
                <w:rFonts w:ascii="宋体" w:hAnsi="宋体" w:cs="宋体"/>
                <w:color w:val="auto"/>
              </w:rPr>
            </w:pPr>
            <w:r>
              <w:rPr>
                <w:rFonts w:hint="eastAsia" w:ascii="宋体" w:hAnsi="宋体" w:cs="宋体"/>
                <w:color w:val="auto"/>
              </w:rPr>
              <w:t>电话</w:t>
            </w:r>
          </w:p>
        </w:tc>
        <w:tc>
          <w:tcPr>
            <w:tcW w:w="2329" w:type="dxa"/>
          </w:tcPr>
          <w:p w14:paraId="57A3C1A2">
            <w:pPr>
              <w:spacing w:line="400" w:lineRule="exact"/>
              <w:ind w:firstLine="420"/>
              <w:rPr>
                <w:rFonts w:ascii="宋体" w:hAnsi="宋体" w:cs="宋体"/>
                <w:color w:val="auto"/>
              </w:rPr>
            </w:pPr>
          </w:p>
        </w:tc>
      </w:tr>
      <w:tr w14:paraId="689D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E31EC91">
            <w:pPr>
              <w:spacing w:line="400" w:lineRule="exact"/>
              <w:jc w:val="center"/>
              <w:rPr>
                <w:rFonts w:ascii="宋体" w:hAnsi="宋体" w:cs="宋体"/>
                <w:color w:val="auto"/>
              </w:rPr>
            </w:pPr>
            <w:r>
              <w:rPr>
                <w:rFonts w:hint="eastAsia" w:ascii="宋体" w:hAnsi="宋体" w:cs="宋体"/>
                <w:color w:val="auto"/>
              </w:rPr>
              <w:t>法定代表人</w:t>
            </w:r>
          </w:p>
        </w:tc>
        <w:tc>
          <w:tcPr>
            <w:tcW w:w="1077" w:type="dxa"/>
          </w:tcPr>
          <w:p w14:paraId="509EA6C1">
            <w:pPr>
              <w:spacing w:line="400" w:lineRule="exact"/>
              <w:rPr>
                <w:rFonts w:ascii="宋体" w:hAnsi="宋体" w:cs="宋体"/>
                <w:color w:val="auto"/>
              </w:rPr>
            </w:pPr>
            <w:r>
              <w:rPr>
                <w:rFonts w:hint="eastAsia" w:ascii="宋体" w:hAnsi="宋体" w:cs="宋体"/>
                <w:color w:val="auto"/>
              </w:rPr>
              <w:t>姓名</w:t>
            </w:r>
          </w:p>
        </w:tc>
        <w:tc>
          <w:tcPr>
            <w:tcW w:w="3055" w:type="dxa"/>
          </w:tcPr>
          <w:p w14:paraId="1D8706A3">
            <w:pPr>
              <w:spacing w:line="400" w:lineRule="exact"/>
              <w:rPr>
                <w:rFonts w:ascii="宋体" w:hAnsi="宋体" w:cs="宋体"/>
                <w:color w:val="auto"/>
              </w:rPr>
            </w:pPr>
          </w:p>
        </w:tc>
        <w:tc>
          <w:tcPr>
            <w:tcW w:w="1089" w:type="dxa"/>
          </w:tcPr>
          <w:p w14:paraId="769B3590">
            <w:pPr>
              <w:spacing w:line="400" w:lineRule="exact"/>
              <w:rPr>
                <w:rFonts w:ascii="宋体" w:hAnsi="宋体" w:cs="宋体"/>
                <w:color w:val="auto"/>
              </w:rPr>
            </w:pPr>
            <w:r>
              <w:rPr>
                <w:rFonts w:hint="eastAsia" w:ascii="宋体" w:hAnsi="宋体" w:cs="宋体"/>
                <w:color w:val="auto"/>
              </w:rPr>
              <w:t>电话</w:t>
            </w:r>
          </w:p>
        </w:tc>
        <w:tc>
          <w:tcPr>
            <w:tcW w:w="2329" w:type="dxa"/>
          </w:tcPr>
          <w:p w14:paraId="207876C0">
            <w:pPr>
              <w:spacing w:line="400" w:lineRule="exact"/>
              <w:ind w:firstLine="420"/>
              <w:rPr>
                <w:rFonts w:ascii="宋体" w:hAnsi="宋体" w:cs="宋体"/>
                <w:color w:val="auto"/>
              </w:rPr>
            </w:pPr>
          </w:p>
        </w:tc>
      </w:tr>
      <w:tr w14:paraId="5E34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3B83F5D6">
            <w:pPr>
              <w:spacing w:line="400" w:lineRule="exact"/>
              <w:jc w:val="center"/>
              <w:rPr>
                <w:rFonts w:ascii="宋体" w:hAnsi="宋体" w:cs="宋体"/>
                <w:color w:val="auto"/>
              </w:rPr>
            </w:pPr>
            <w:r>
              <w:rPr>
                <w:rFonts w:hint="eastAsia" w:ascii="宋体" w:hAnsi="宋体" w:cs="宋体"/>
                <w:color w:val="auto"/>
              </w:rPr>
              <w:t>基本账户开户银行</w:t>
            </w:r>
          </w:p>
        </w:tc>
        <w:tc>
          <w:tcPr>
            <w:tcW w:w="7550" w:type="dxa"/>
            <w:gridSpan w:val="4"/>
          </w:tcPr>
          <w:p w14:paraId="5DB5B11B">
            <w:pPr>
              <w:spacing w:line="400" w:lineRule="exact"/>
              <w:ind w:firstLine="420"/>
              <w:rPr>
                <w:rFonts w:ascii="宋体" w:hAnsi="宋体" w:cs="宋体"/>
                <w:color w:val="auto"/>
              </w:rPr>
            </w:pPr>
          </w:p>
        </w:tc>
      </w:tr>
      <w:tr w14:paraId="6117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75BB8DD">
            <w:pPr>
              <w:spacing w:line="400" w:lineRule="exact"/>
              <w:jc w:val="center"/>
              <w:rPr>
                <w:rFonts w:ascii="宋体" w:hAnsi="宋体" w:cs="宋体"/>
                <w:color w:val="auto"/>
              </w:rPr>
            </w:pPr>
            <w:r>
              <w:rPr>
                <w:rFonts w:hint="eastAsia" w:ascii="宋体" w:hAnsi="宋体" w:cs="宋体"/>
                <w:color w:val="auto"/>
              </w:rPr>
              <w:t>基本账户银行账号</w:t>
            </w:r>
          </w:p>
        </w:tc>
        <w:tc>
          <w:tcPr>
            <w:tcW w:w="7550" w:type="dxa"/>
            <w:gridSpan w:val="4"/>
          </w:tcPr>
          <w:p w14:paraId="6E6EA466">
            <w:pPr>
              <w:spacing w:line="400" w:lineRule="exact"/>
              <w:ind w:firstLine="420"/>
              <w:rPr>
                <w:rFonts w:ascii="宋体" w:hAnsi="宋体" w:cs="宋体"/>
                <w:color w:val="auto"/>
              </w:rPr>
            </w:pPr>
          </w:p>
        </w:tc>
      </w:tr>
      <w:tr w14:paraId="3E8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41B26B2">
            <w:pPr>
              <w:spacing w:line="400" w:lineRule="exact"/>
              <w:jc w:val="center"/>
              <w:rPr>
                <w:rFonts w:ascii="宋体" w:hAnsi="宋体" w:cs="宋体"/>
                <w:color w:val="auto"/>
                <w:lang w:eastAsia="zh-CN"/>
              </w:rPr>
            </w:pPr>
            <w:r>
              <w:rPr>
                <w:rFonts w:hint="eastAsia" w:ascii="宋体" w:hAnsi="宋体" w:cs="宋体"/>
                <w:color w:val="auto"/>
                <w:lang w:eastAsia="zh-CN"/>
              </w:rPr>
              <w:t>供应商关联企业情况（包括但不限于与供应商法定代表人为同一人或者存在控股、管理关系的不同单位）</w:t>
            </w:r>
          </w:p>
        </w:tc>
        <w:tc>
          <w:tcPr>
            <w:tcW w:w="7550" w:type="dxa"/>
            <w:gridSpan w:val="4"/>
          </w:tcPr>
          <w:p w14:paraId="2710D8FE">
            <w:pPr>
              <w:spacing w:line="400" w:lineRule="exact"/>
              <w:ind w:firstLine="420"/>
              <w:rPr>
                <w:rFonts w:ascii="宋体" w:hAnsi="宋体" w:cs="宋体"/>
                <w:color w:val="auto"/>
                <w:lang w:eastAsia="zh-CN"/>
              </w:rPr>
            </w:pPr>
          </w:p>
        </w:tc>
      </w:tr>
      <w:tr w14:paraId="1698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980" w:type="dxa"/>
            <w:vAlign w:val="center"/>
          </w:tcPr>
          <w:p w14:paraId="29436DF2">
            <w:pPr>
              <w:spacing w:line="400" w:lineRule="exact"/>
              <w:jc w:val="center"/>
              <w:rPr>
                <w:rFonts w:ascii="宋体" w:hAnsi="宋体" w:cs="宋体"/>
                <w:color w:val="auto"/>
              </w:rPr>
            </w:pPr>
            <w:r>
              <w:rPr>
                <w:rFonts w:hint="eastAsia" w:ascii="宋体" w:hAnsi="宋体" w:cs="宋体"/>
                <w:color w:val="auto"/>
              </w:rPr>
              <w:t>经营范围备注</w:t>
            </w:r>
          </w:p>
        </w:tc>
        <w:tc>
          <w:tcPr>
            <w:tcW w:w="7550" w:type="dxa"/>
            <w:gridSpan w:val="4"/>
          </w:tcPr>
          <w:p w14:paraId="57C57F3B">
            <w:pPr>
              <w:spacing w:line="400" w:lineRule="exact"/>
              <w:ind w:firstLine="420"/>
              <w:rPr>
                <w:rFonts w:ascii="宋体" w:hAnsi="宋体" w:cs="宋体"/>
                <w:color w:val="auto"/>
              </w:rPr>
            </w:pPr>
          </w:p>
        </w:tc>
      </w:tr>
    </w:tbl>
    <w:p w14:paraId="5ADCA801">
      <w:pPr>
        <w:pStyle w:val="3"/>
        <w:spacing w:line="360" w:lineRule="auto"/>
        <w:ind w:firstLine="420"/>
        <w:rPr>
          <w:rFonts w:ascii="宋体" w:hAnsi="宋体"/>
          <w:color w:val="auto"/>
        </w:rPr>
      </w:pPr>
    </w:p>
    <w:p w14:paraId="71A1321F">
      <w:pPr>
        <w:pStyle w:val="3"/>
        <w:spacing w:line="360" w:lineRule="auto"/>
        <w:ind w:firstLine="420"/>
        <w:rPr>
          <w:rFonts w:ascii="宋体" w:hAnsi="宋体"/>
          <w:color w:val="auto"/>
          <w:lang w:eastAsia="zh-CN"/>
        </w:rPr>
      </w:pPr>
      <w:r>
        <w:rPr>
          <w:rFonts w:hint="eastAsia" w:ascii="宋体" w:hAnsi="宋体"/>
          <w:color w:val="auto"/>
          <w:lang w:eastAsia="zh-CN"/>
        </w:rPr>
        <w:t>注：1.根据供应商须知的要求在本表后附</w:t>
      </w:r>
      <w:r>
        <w:rPr>
          <w:rFonts w:hint="eastAsia" w:ascii="宋体" w:hAnsi="宋体"/>
          <w:b/>
          <w:bCs/>
          <w:color w:val="auto"/>
          <w:lang w:eastAsia="zh-CN"/>
        </w:rPr>
        <w:t>供应商信用承诺函</w:t>
      </w:r>
      <w:r>
        <w:rPr>
          <w:rFonts w:hint="eastAsia" w:ascii="宋体" w:hAnsi="宋体"/>
          <w:color w:val="auto"/>
          <w:lang w:eastAsia="zh-CN"/>
        </w:rPr>
        <w:t>。</w:t>
      </w:r>
    </w:p>
    <w:p w14:paraId="78AE613E">
      <w:pPr>
        <w:pStyle w:val="3"/>
        <w:spacing w:line="360" w:lineRule="auto"/>
        <w:ind w:firstLine="420"/>
        <w:rPr>
          <w:rFonts w:ascii="宋体" w:hAnsi="宋体"/>
          <w:color w:val="auto"/>
          <w:lang w:eastAsia="zh-CN"/>
        </w:rPr>
        <w:sectPr>
          <w:footerReference r:id="rId12" w:type="default"/>
          <w:pgSz w:w="11905" w:h="16838"/>
          <w:pgMar w:top="1440" w:right="1803" w:bottom="1440" w:left="1803" w:header="850" w:footer="850" w:gutter="0"/>
          <w:pgNumType w:fmt="decimal"/>
          <w:cols w:space="720" w:num="1"/>
          <w:docGrid w:type="lines" w:linePitch="411" w:charSpace="0"/>
        </w:sectPr>
      </w:pPr>
      <w:bookmarkStart w:id="1041" w:name="_Toc456185720"/>
      <w:r>
        <w:rPr>
          <w:rFonts w:hint="eastAsia" w:ascii="宋体" w:hAnsi="宋体"/>
          <w:color w:val="auto"/>
          <w:lang w:eastAsia="zh-CN"/>
        </w:rPr>
        <w:t xml:space="preserve"> </w:t>
      </w:r>
      <w:r>
        <w:rPr>
          <w:rFonts w:hint="eastAsia" w:ascii="宋体" w:hAnsi="宋体"/>
          <w:b/>
          <w:bCs/>
          <w:color w:val="auto"/>
          <w:lang w:eastAsia="zh-CN"/>
        </w:rPr>
        <w:t xml:space="preserve">   2.本项目的特定资格要求（如有）：需提供相应的证明材料</w:t>
      </w:r>
    </w:p>
    <w:bookmarkEnd w:id="1041"/>
    <w:p w14:paraId="3AC53EF2">
      <w:pPr>
        <w:spacing w:line="360" w:lineRule="auto"/>
        <w:jc w:val="center"/>
        <w:rPr>
          <w:rFonts w:ascii="宋体" w:hAnsi="宋体" w:cs="宋体"/>
          <w:color w:val="auto"/>
          <w:lang w:eastAsia="zh-CN"/>
        </w:rPr>
      </w:pPr>
      <w:bookmarkStart w:id="1042" w:name="_Toc25111"/>
      <w:bookmarkStart w:id="1043" w:name="_Toc19770"/>
      <w:r>
        <w:rPr>
          <w:rStyle w:val="39"/>
          <w:rFonts w:hint="eastAsia"/>
          <w:color w:val="auto"/>
          <w:lang w:eastAsia="zh-CN"/>
        </w:rPr>
        <w:t>十、中小企业声明函（服务）</w:t>
      </w:r>
      <w:bookmarkEnd w:id="1042"/>
      <w:bookmarkEnd w:id="1043"/>
    </w:p>
    <w:p w14:paraId="419CAEAC">
      <w:pPr>
        <w:spacing w:line="360" w:lineRule="auto"/>
        <w:ind w:firstLine="420" w:firstLineChars="200"/>
        <w:rPr>
          <w:rFonts w:ascii="宋体" w:hAnsi="宋体"/>
          <w:color w:val="auto"/>
        </w:rPr>
      </w:pPr>
      <w:r>
        <w:rPr>
          <w:rFonts w:hint="eastAsia" w:ascii="宋体" w:hAnsi="宋体"/>
          <w:color w:val="auto"/>
          <w:lang w:eastAsia="zh-CN"/>
        </w:rPr>
        <w:t>本公司郑重声明，根据《政府采购促进中小企业发展管理办法》（财库﹝2020﹞46号）的规定，本公司参加</w:t>
      </w:r>
      <w:r>
        <w:rPr>
          <w:rFonts w:hint="eastAsia" w:ascii="宋体" w:hAnsi="宋体"/>
          <w:color w:val="auto"/>
          <w:u w:val="single"/>
          <w:lang w:eastAsia="zh-CN"/>
        </w:rPr>
        <w:t xml:space="preserve">          </w:t>
      </w:r>
      <w:r>
        <w:rPr>
          <w:rFonts w:hint="eastAsia" w:ascii="宋体" w:hAnsi="宋体"/>
          <w:color w:val="auto"/>
          <w:lang w:eastAsia="zh-CN"/>
        </w:rPr>
        <w:t>（采购人名称）的</w:t>
      </w:r>
      <w:r>
        <w:rPr>
          <w:rFonts w:hint="eastAsia" w:ascii="宋体" w:hAnsi="宋体"/>
          <w:color w:val="auto"/>
          <w:u w:val="single"/>
          <w:lang w:eastAsia="zh-CN"/>
        </w:rPr>
        <w:t xml:space="preserve">            </w:t>
      </w:r>
      <w:r>
        <w:rPr>
          <w:rFonts w:hint="eastAsia" w:ascii="宋体" w:hAnsi="宋体"/>
          <w:color w:val="auto"/>
          <w:lang w:eastAsia="zh-CN"/>
        </w:rPr>
        <w:t>（项目名称）采购活动，服务全部由符合政策要求的中小企业承接。</w:t>
      </w:r>
      <w:r>
        <w:rPr>
          <w:rFonts w:hint="eastAsia" w:ascii="宋体" w:hAnsi="宋体"/>
          <w:color w:val="auto"/>
        </w:rPr>
        <w:t>相关企业的具体情况如下 ：</w:t>
      </w:r>
    </w:p>
    <w:p w14:paraId="28996C2E">
      <w:pPr>
        <w:numPr>
          <w:ilvl w:val="0"/>
          <w:numId w:val="2"/>
        </w:numPr>
        <w:spacing w:line="360" w:lineRule="auto"/>
        <w:ind w:firstLine="420" w:firstLineChars="200"/>
        <w:rPr>
          <w:rFonts w:ascii="宋体" w:hAnsi="宋体"/>
          <w:color w:val="auto"/>
          <w:lang w:eastAsia="zh-CN"/>
        </w:rPr>
      </w:pPr>
      <w:r>
        <w:rPr>
          <w:rFonts w:hint="eastAsia" w:ascii="宋体" w:hAnsi="宋体"/>
          <w:color w:val="auto"/>
          <w:u w:val="single"/>
          <w:lang w:eastAsia="zh-CN"/>
        </w:rPr>
        <w:t xml:space="preserve">         </w:t>
      </w:r>
      <w:r>
        <w:rPr>
          <w:rFonts w:hint="eastAsia" w:ascii="宋体" w:hAnsi="宋体"/>
          <w:color w:val="auto"/>
          <w:lang w:eastAsia="zh-CN"/>
        </w:rPr>
        <w:t>（标的名称），属于</w:t>
      </w:r>
      <w:r>
        <w:rPr>
          <w:rFonts w:hint="eastAsia" w:ascii="宋体" w:hAnsi="宋体"/>
          <w:color w:val="auto"/>
          <w:u w:val="single"/>
          <w:lang w:eastAsia="zh-CN"/>
        </w:rPr>
        <w:t xml:space="preserve">          </w:t>
      </w:r>
      <w:r>
        <w:rPr>
          <w:rFonts w:hint="eastAsia" w:ascii="宋体" w:hAnsi="宋体"/>
          <w:color w:val="auto"/>
          <w:lang w:eastAsia="zh-CN"/>
        </w:rPr>
        <w:t>（磋商文件中明确的所属行业）行业；承接企业为</w:t>
      </w:r>
      <w:r>
        <w:rPr>
          <w:rFonts w:hint="eastAsia" w:ascii="宋体" w:hAnsi="宋体"/>
          <w:color w:val="auto"/>
          <w:u w:val="single"/>
          <w:lang w:eastAsia="zh-CN"/>
        </w:rPr>
        <w:t xml:space="preserve">         </w:t>
      </w:r>
      <w:r>
        <w:rPr>
          <w:rFonts w:hint="eastAsia" w:ascii="宋体" w:hAnsi="宋体"/>
          <w:color w:val="auto"/>
          <w:lang w:eastAsia="zh-CN"/>
        </w:rPr>
        <w:t>（企业名称），从业人员</w:t>
      </w:r>
      <w:r>
        <w:rPr>
          <w:rFonts w:hint="eastAsia" w:ascii="宋体" w:hAnsi="宋体"/>
          <w:color w:val="auto"/>
          <w:u w:val="single"/>
          <w:lang w:eastAsia="zh-CN"/>
        </w:rPr>
        <w:t xml:space="preserve">      </w:t>
      </w:r>
      <w:r>
        <w:rPr>
          <w:rFonts w:hint="eastAsia" w:ascii="宋体" w:hAnsi="宋体"/>
          <w:color w:val="auto"/>
          <w:lang w:eastAsia="zh-CN"/>
        </w:rPr>
        <w:t>人 ， 营业收入为</w:t>
      </w:r>
      <w:r>
        <w:rPr>
          <w:rFonts w:hint="eastAsia" w:ascii="宋体" w:hAnsi="宋体"/>
          <w:color w:val="auto"/>
          <w:u w:val="single"/>
          <w:lang w:eastAsia="zh-CN"/>
        </w:rPr>
        <w:t xml:space="preserve">      </w:t>
      </w:r>
      <w:r>
        <w:rPr>
          <w:rFonts w:hint="eastAsia" w:ascii="宋体" w:hAnsi="宋体"/>
          <w:color w:val="auto"/>
          <w:lang w:eastAsia="zh-CN"/>
        </w:rPr>
        <w:t>万元 ，资产总额为</w:t>
      </w:r>
      <w:r>
        <w:rPr>
          <w:rFonts w:hint="eastAsia" w:ascii="宋体" w:hAnsi="宋体"/>
          <w:color w:val="auto"/>
          <w:u w:val="single"/>
          <w:lang w:eastAsia="zh-CN"/>
        </w:rPr>
        <w:t xml:space="preserve">      </w:t>
      </w:r>
      <w:r>
        <w:rPr>
          <w:rFonts w:hint="eastAsia" w:ascii="宋体" w:hAnsi="宋体"/>
          <w:color w:val="auto"/>
          <w:lang w:eastAsia="zh-CN"/>
        </w:rPr>
        <w:t>万元 ，属于</w:t>
      </w:r>
      <w:r>
        <w:rPr>
          <w:rFonts w:hint="eastAsia" w:ascii="宋体" w:hAnsi="宋体"/>
          <w:color w:val="auto"/>
          <w:u w:val="single"/>
          <w:lang w:eastAsia="zh-CN"/>
        </w:rPr>
        <w:t xml:space="preserve">         </w:t>
      </w:r>
      <w:r>
        <w:rPr>
          <w:rFonts w:hint="eastAsia" w:ascii="宋体" w:hAnsi="宋体"/>
          <w:color w:val="auto"/>
          <w:lang w:eastAsia="zh-CN"/>
        </w:rPr>
        <w:t>（中型企业、小型企业、微型企业）；</w:t>
      </w:r>
    </w:p>
    <w:p w14:paraId="67A5EFEF">
      <w:pPr>
        <w:spacing w:line="360" w:lineRule="auto"/>
        <w:ind w:firstLine="420" w:firstLineChars="200"/>
        <w:rPr>
          <w:rFonts w:ascii="宋体" w:hAnsi="宋体"/>
          <w:color w:val="auto"/>
          <w:lang w:eastAsia="zh-CN"/>
        </w:rPr>
      </w:pPr>
      <w:r>
        <w:rPr>
          <w:rFonts w:hint="eastAsia" w:ascii="宋体" w:hAnsi="宋体"/>
          <w:color w:val="auto"/>
          <w:lang w:eastAsia="zh-CN"/>
        </w:rPr>
        <w:t>……</w:t>
      </w:r>
    </w:p>
    <w:p w14:paraId="73EC1F98">
      <w:pPr>
        <w:spacing w:line="360" w:lineRule="auto"/>
        <w:ind w:firstLine="420" w:firstLineChars="200"/>
        <w:rPr>
          <w:rFonts w:ascii="宋体" w:hAnsi="宋体"/>
          <w:color w:val="auto"/>
          <w:lang w:eastAsia="zh-CN"/>
        </w:rPr>
      </w:pPr>
      <w:r>
        <w:rPr>
          <w:rFonts w:hint="eastAsia" w:ascii="宋体" w:hAnsi="宋体"/>
          <w:color w:val="auto"/>
          <w:lang w:eastAsia="zh-CN"/>
        </w:rPr>
        <w:t>以上企业，不属于大企业的分支机构，不存在控股股东为大企业的情形，也不存在与大企业的负责人为同一人的情形 。</w:t>
      </w:r>
    </w:p>
    <w:p w14:paraId="2BB46591">
      <w:pPr>
        <w:spacing w:line="360" w:lineRule="auto"/>
        <w:ind w:firstLine="420" w:firstLineChars="200"/>
        <w:rPr>
          <w:rFonts w:ascii="宋体" w:hAnsi="宋体"/>
          <w:color w:val="auto"/>
          <w:lang w:eastAsia="zh-CN"/>
        </w:rPr>
      </w:pPr>
      <w:r>
        <w:rPr>
          <w:rFonts w:hint="eastAsia" w:ascii="宋体" w:hAnsi="宋体"/>
          <w:color w:val="auto"/>
          <w:lang w:eastAsia="zh-CN"/>
        </w:rPr>
        <w:t>本企业对上述声明内容的真实性负责。如有虚假，将依法承担相应责任。</w:t>
      </w:r>
    </w:p>
    <w:p w14:paraId="63EB3DDD">
      <w:pPr>
        <w:spacing w:line="360" w:lineRule="auto"/>
        <w:ind w:firstLine="420" w:firstLineChars="200"/>
        <w:jc w:val="right"/>
        <w:rPr>
          <w:rFonts w:ascii="宋体" w:hAnsi="宋体"/>
          <w:color w:val="auto"/>
          <w:lang w:eastAsia="zh-CN"/>
        </w:rPr>
      </w:pPr>
    </w:p>
    <w:p w14:paraId="2B221018">
      <w:pPr>
        <w:spacing w:line="360" w:lineRule="auto"/>
        <w:ind w:firstLine="420" w:firstLineChars="200"/>
        <w:jc w:val="right"/>
        <w:rPr>
          <w:rFonts w:ascii="宋体" w:hAnsi="宋体"/>
          <w:color w:val="auto"/>
          <w:lang w:eastAsia="zh-CN"/>
        </w:rPr>
      </w:pPr>
    </w:p>
    <w:p w14:paraId="3A591B23">
      <w:pPr>
        <w:wordWrap w:val="0"/>
        <w:spacing w:line="360" w:lineRule="auto"/>
        <w:ind w:firstLine="420" w:firstLineChars="200"/>
        <w:jc w:val="right"/>
        <w:rPr>
          <w:rFonts w:ascii="宋体" w:hAnsi="宋体"/>
          <w:color w:val="auto"/>
          <w:u w:val="single"/>
          <w:lang w:eastAsia="zh-CN"/>
        </w:rPr>
      </w:pPr>
      <w:r>
        <w:rPr>
          <w:rFonts w:hint="eastAsia" w:ascii="宋体" w:hAnsi="宋体"/>
          <w:color w:val="auto"/>
          <w:lang w:eastAsia="zh-CN"/>
        </w:rPr>
        <w:t>企业名称：</w:t>
      </w:r>
      <w:r>
        <w:rPr>
          <w:rFonts w:hint="eastAsia" w:ascii="宋体" w:hAnsi="宋体"/>
          <w:color w:val="auto"/>
          <w:u w:val="single"/>
          <w:lang w:eastAsia="zh-CN"/>
        </w:rPr>
        <w:t xml:space="preserve">                 </w:t>
      </w:r>
      <w:r>
        <w:rPr>
          <w:rFonts w:hint="eastAsia" w:ascii="宋体" w:hAnsi="宋体"/>
          <w:color w:val="auto"/>
          <w:lang w:eastAsia="zh-CN"/>
        </w:rPr>
        <w:t>（单位</w:t>
      </w:r>
      <w:r>
        <w:rPr>
          <w:rFonts w:hint="eastAsia" w:ascii="宋体" w:hAnsi="宋体" w:cs="宋体"/>
          <w:color w:val="auto"/>
          <w:lang w:eastAsia="zh-CN"/>
        </w:rPr>
        <w:t>电子签章</w:t>
      </w:r>
      <w:r>
        <w:rPr>
          <w:rFonts w:hint="eastAsia" w:ascii="宋体" w:hAnsi="宋体"/>
          <w:color w:val="auto"/>
          <w:lang w:eastAsia="zh-CN"/>
        </w:rPr>
        <w:t>）</w:t>
      </w:r>
    </w:p>
    <w:p w14:paraId="0FF5E8ED">
      <w:pPr>
        <w:spacing w:line="480" w:lineRule="auto"/>
        <w:ind w:firstLine="420" w:firstLineChars="200"/>
        <w:jc w:val="right"/>
        <w:rPr>
          <w:rFonts w:ascii="宋体" w:hAnsi="宋体"/>
          <w:color w:val="auto"/>
          <w:lang w:eastAsia="zh-CN"/>
        </w:rPr>
      </w:pPr>
      <w:r>
        <w:rPr>
          <w:rFonts w:hint="eastAsia" w:ascii="宋体" w:hAnsi="宋体"/>
          <w:color w:val="auto"/>
          <w:lang w:eastAsia="zh-CN"/>
        </w:rPr>
        <w:t>日期：</w:t>
      </w:r>
      <w:r>
        <w:rPr>
          <w:rFonts w:hint="eastAsia" w:ascii="宋体" w:hAnsi="宋体"/>
          <w:color w:val="auto"/>
          <w:u w:val="single"/>
          <w:lang w:eastAsia="zh-CN"/>
        </w:rPr>
        <w:t xml:space="preserve">      </w:t>
      </w:r>
      <w:r>
        <w:rPr>
          <w:rFonts w:hint="eastAsia" w:ascii="宋体" w:hAnsi="宋体"/>
          <w:color w:val="auto"/>
          <w:lang w:eastAsia="zh-CN"/>
        </w:rPr>
        <w:t>年</w:t>
      </w:r>
      <w:r>
        <w:rPr>
          <w:rFonts w:hint="eastAsia" w:ascii="宋体" w:hAnsi="宋体"/>
          <w:color w:val="auto"/>
          <w:u w:val="single"/>
          <w:lang w:eastAsia="zh-CN"/>
        </w:rPr>
        <w:t xml:space="preserve">      </w:t>
      </w:r>
      <w:r>
        <w:rPr>
          <w:rFonts w:hint="eastAsia" w:ascii="宋体" w:hAnsi="宋体"/>
          <w:color w:val="auto"/>
          <w:lang w:eastAsia="zh-CN"/>
        </w:rPr>
        <w:t>月</w:t>
      </w:r>
      <w:r>
        <w:rPr>
          <w:rFonts w:hint="eastAsia" w:ascii="宋体" w:hAnsi="宋体"/>
          <w:color w:val="auto"/>
          <w:u w:val="single"/>
          <w:lang w:eastAsia="zh-CN"/>
        </w:rPr>
        <w:t xml:space="preserve">     </w:t>
      </w:r>
      <w:r>
        <w:rPr>
          <w:rFonts w:hint="eastAsia" w:ascii="宋体" w:hAnsi="宋体"/>
          <w:color w:val="auto"/>
          <w:lang w:eastAsia="zh-CN"/>
        </w:rPr>
        <w:t>日</w:t>
      </w:r>
    </w:p>
    <w:p w14:paraId="53FA4FBE">
      <w:pPr>
        <w:pStyle w:val="3"/>
        <w:rPr>
          <w:rFonts w:ascii="宋体" w:hAnsi="宋体"/>
          <w:color w:val="auto"/>
          <w:lang w:eastAsia="zh-CN"/>
        </w:rPr>
      </w:pPr>
    </w:p>
    <w:p w14:paraId="1FA772A8">
      <w:pPr>
        <w:rPr>
          <w:rFonts w:ascii="宋体" w:hAnsi="宋体"/>
          <w:color w:val="auto"/>
          <w:lang w:eastAsia="zh-CN"/>
        </w:rPr>
      </w:pPr>
    </w:p>
    <w:p w14:paraId="23EE791C">
      <w:pPr>
        <w:pStyle w:val="3"/>
        <w:spacing w:line="360" w:lineRule="auto"/>
        <w:rPr>
          <w:color w:val="auto"/>
          <w:lang w:eastAsia="zh-CN"/>
        </w:rPr>
      </w:pPr>
      <w:r>
        <w:rPr>
          <w:rFonts w:hint="eastAsia" w:ascii="宋体" w:hAnsi="宋体"/>
          <w:color w:val="auto"/>
          <w:lang w:eastAsia="zh-CN"/>
        </w:rPr>
        <w:t>注：从业人员、营业收入、资产总额填报上一年度数据，无上一年度数据的新成立企业可不填报。</w:t>
      </w:r>
    </w:p>
    <w:p w14:paraId="191B6C84">
      <w:pPr>
        <w:pStyle w:val="22"/>
        <w:widowControl w:val="0"/>
        <w:spacing w:beforeAutospacing="0" w:afterAutospacing="0" w:line="546" w:lineRule="exact"/>
        <w:jc w:val="both"/>
        <w:rPr>
          <w:b/>
          <w:bCs/>
          <w:color w:val="auto"/>
          <w:sz w:val="21"/>
          <w:szCs w:val="21"/>
          <w:lang w:eastAsia="zh-CN"/>
        </w:rPr>
      </w:pPr>
      <w:r>
        <w:rPr>
          <w:rFonts w:hint="eastAsia"/>
          <w:b/>
          <w:bCs/>
          <w:color w:val="auto"/>
          <w:sz w:val="21"/>
          <w:szCs w:val="21"/>
          <w:lang w:eastAsia="zh-CN"/>
        </w:rPr>
        <w:t>本采购项目中采购标的所属行业：其他未列明行业。</w:t>
      </w:r>
    </w:p>
    <w:p w14:paraId="7794B4B5">
      <w:pPr>
        <w:pStyle w:val="22"/>
        <w:widowControl w:val="0"/>
        <w:spacing w:beforeAutospacing="0" w:afterAutospacing="0" w:line="546" w:lineRule="exact"/>
        <w:jc w:val="both"/>
        <w:rPr>
          <w:b/>
          <w:bCs/>
          <w:color w:val="auto"/>
          <w:kern w:val="2"/>
          <w:lang w:eastAsia="zh-CN"/>
        </w:rPr>
      </w:pPr>
      <w:r>
        <w:rPr>
          <w:rFonts w:hint="eastAsia"/>
          <w:b/>
          <w:bCs/>
          <w:color w:val="auto"/>
          <w:sz w:val="21"/>
          <w:szCs w:val="21"/>
          <w:lang w:eastAsia="zh-CN"/>
        </w:rPr>
        <w:br w:type="page"/>
      </w:r>
      <w:r>
        <w:rPr>
          <w:rFonts w:hint="eastAsia" w:eastAsia="宋体"/>
          <w:color w:val="auto"/>
          <w:lang w:eastAsia="zh-CN"/>
        </w:rPr>
        <w:drawing>
          <wp:anchor distT="0" distB="0" distL="114300" distR="114300" simplePos="0" relativeHeight="251659264" behindDoc="0" locked="0" layoutInCell="1" allowOverlap="1">
            <wp:simplePos x="0" y="0"/>
            <wp:positionH relativeFrom="column">
              <wp:posOffset>-189865</wp:posOffset>
            </wp:positionH>
            <wp:positionV relativeFrom="paragraph">
              <wp:posOffset>63500</wp:posOffset>
            </wp:positionV>
            <wp:extent cx="5879465" cy="7776845"/>
            <wp:effectExtent l="0" t="0" r="6985" b="1460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cstate="print"/>
                    <a:stretch>
                      <a:fillRect/>
                    </a:stretch>
                  </pic:blipFill>
                  <pic:spPr>
                    <a:xfrm>
                      <a:off x="0" y="0"/>
                      <a:ext cx="5879465" cy="7776845"/>
                    </a:xfrm>
                    <a:prstGeom prst="rect">
                      <a:avLst/>
                    </a:prstGeom>
                    <a:noFill/>
                    <a:ln>
                      <a:noFill/>
                    </a:ln>
                  </pic:spPr>
                </pic:pic>
              </a:graphicData>
            </a:graphic>
          </wp:anchor>
        </w:drawing>
      </w:r>
    </w:p>
    <w:p w14:paraId="2B047E63">
      <w:pPr>
        <w:spacing w:line="360" w:lineRule="auto"/>
        <w:rPr>
          <w:rFonts w:ascii="宋体" w:hAnsi="宋体" w:eastAsia="宋体" w:cs="宋体"/>
          <w:color w:val="auto"/>
          <w:sz w:val="24"/>
          <w:szCs w:val="24"/>
          <w:lang w:eastAsia="zh-CN"/>
        </w:rPr>
      </w:pPr>
    </w:p>
    <w:p w14:paraId="36A6E654">
      <w:pPr>
        <w:pStyle w:val="2"/>
        <w:ind w:firstLine="210"/>
        <w:rPr>
          <w:color w:val="auto"/>
          <w:lang w:eastAsia="zh-CN"/>
        </w:rPr>
      </w:pPr>
    </w:p>
    <w:p w14:paraId="61E94443">
      <w:pPr>
        <w:widowControl w:val="0"/>
        <w:kinsoku/>
        <w:adjustRightInd/>
        <w:spacing w:after="120" w:line="400" w:lineRule="exact"/>
        <w:jc w:val="both"/>
        <w:textAlignment w:val="auto"/>
        <w:rPr>
          <w:rFonts w:ascii="Times New Roman" w:hAnsi="Times New Roman" w:eastAsia="宋体" w:cs="Times New Roman"/>
          <w:color w:val="auto"/>
          <w:kern w:val="2"/>
          <w:sz w:val="32"/>
          <w:szCs w:val="24"/>
          <w:lang w:eastAsia="zh-CN"/>
        </w:rPr>
      </w:pPr>
      <w:r>
        <w:rPr>
          <w:rFonts w:hint="eastAsia" w:ascii="宋体" w:hAnsi="宋体" w:eastAsia="宋体" w:cs="宋体"/>
          <w:color w:val="auto"/>
          <w:lang w:eastAsia="zh-CN"/>
        </w:rPr>
        <w:drawing>
          <wp:anchor distT="0" distB="0" distL="114300" distR="114300" simplePos="0" relativeHeight="251660288" behindDoc="0" locked="0" layoutInCell="1" allowOverlap="1">
            <wp:simplePos x="0" y="0"/>
            <wp:positionH relativeFrom="column">
              <wp:posOffset>125095</wp:posOffset>
            </wp:positionH>
            <wp:positionV relativeFrom="paragraph">
              <wp:posOffset>-19685</wp:posOffset>
            </wp:positionV>
            <wp:extent cx="5245100" cy="6876415"/>
            <wp:effectExtent l="0" t="0" r="12700" b="63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cstate="print"/>
                    <a:stretch>
                      <a:fillRect/>
                    </a:stretch>
                  </pic:blipFill>
                  <pic:spPr>
                    <a:xfrm>
                      <a:off x="0" y="0"/>
                      <a:ext cx="5245100" cy="6876415"/>
                    </a:xfrm>
                    <a:prstGeom prst="rect">
                      <a:avLst/>
                    </a:prstGeom>
                    <a:noFill/>
                    <a:ln>
                      <a:noFill/>
                    </a:ln>
                  </pic:spPr>
                </pic:pic>
              </a:graphicData>
            </a:graphic>
          </wp:anchor>
        </w:drawing>
      </w:r>
    </w:p>
    <w:p w14:paraId="2416D662">
      <w:pPr>
        <w:pStyle w:val="22"/>
        <w:widowControl w:val="0"/>
        <w:spacing w:beforeAutospacing="0" w:afterAutospacing="0" w:line="546" w:lineRule="exact"/>
        <w:jc w:val="both"/>
        <w:rPr>
          <w:b/>
          <w:bCs/>
          <w:color w:val="auto"/>
          <w:sz w:val="21"/>
          <w:szCs w:val="21"/>
          <w:lang w:eastAsia="zh-CN"/>
        </w:rPr>
      </w:pPr>
    </w:p>
    <w:p w14:paraId="7A7DF394">
      <w:pPr>
        <w:rPr>
          <w:rFonts w:ascii="宋体" w:hAnsi="宋体" w:cs="宋体"/>
          <w:color w:val="auto"/>
          <w:lang w:eastAsia="zh-CN"/>
        </w:rPr>
      </w:pPr>
    </w:p>
    <w:p w14:paraId="7A6FFE08">
      <w:pPr>
        <w:spacing w:line="360" w:lineRule="auto"/>
        <w:ind w:firstLine="562"/>
        <w:jc w:val="center"/>
        <w:rPr>
          <w:rFonts w:hint="eastAsia" w:asciiTheme="minorEastAsia" w:hAnsiTheme="minorEastAsia" w:eastAsiaTheme="minorEastAsia" w:cstheme="minorEastAsia"/>
          <w:color w:val="auto"/>
          <w:spacing w:val="0"/>
          <w:w w:val="100"/>
          <w:kern w:val="0"/>
          <w:sz w:val="24"/>
          <w:szCs w:val="24"/>
          <w:highlight w:val="none"/>
        </w:rPr>
      </w:pPr>
      <w:r>
        <w:rPr>
          <w:rFonts w:ascii="宋体" w:hAnsi="宋体" w:cs="宋体"/>
          <w:b/>
          <w:bCs/>
          <w:color w:val="auto"/>
          <w:sz w:val="28"/>
          <w:szCs w:val="28"/>
          <w:lang w:eastAsia="zh-CN"/>
        </w:rPr>
        <w:br w:type="page"/>
      </w:r>
      <w:bookmarkStart w:id="1044" w:name="_Toc23242"/>
      <w:bookmarkStart w:id="1045" w:name="_Toc29886"/>
      <w:r>
        <w:rPr>
          <w:rStyle w:val="39"/>
          <w:rFonts w:hint="eastAsia"/>
          <w:color w:val="auto"/>
          <w:lang w:eastAsia="zh-CN"/>
        </w:rPr>
        <w:t>十</w:t>
      </w:r>
      <w:r>
        <w:rPr>
          <w:rStyle w:val="39"/>
          <w:rFonts w:hint="eastAsia"/>
          <w:color w:val="auto"/>
          <w:lang w:val="en-US" w:eastAsia="zh-CN"/>
        </w:rPr>
        <w:t>一</w:t>
      </w:r>
      <w:r>
        <w:rPr>
          <w:rStyle w:val="39"/>
          <w:rFonts w:hint="eastAsia"/>
          <w:color w:val="auto"/>
          <w:lang w:eastAsia="zh-CN"/>
        </w:rPr>
        <w:t>、</w:t>
      </w:r>
      <w:bookmarkEnd w:id="1044"/>
      <w:bookmarkEnd w:id="1045"/>
      <w:bookmarkStart w:id="1046" w:name="_Toc603"/>
      <w:r>
        <w:rPr>
          <w:rStyle w:val="39"/>
          <w:rFonts w:hint="eastAsia" w:asciiTheme="minorEastAsia" w:hAnsiTheme="minorEastAsia" w:eastAsiaTheme="minorEastAsia" w:cstheme="minorEastAsia"/>
          <w:color w:val="auto"/>
          <w:spacing w:val="0"/>
          <w:w w:val="100"/>
          <w:sz w:val="24"/>
          <w:szCs w:val="24"/>
          <w:highlight w:val="none"/>
        </w:rPr>
        <w:t>残疾人福利性单位声明函</w:t>
      </w:r>
      <w:r>
        <w:rPr>
          <w:rStyle w:val="39"/>
          <w:rFonts w:hint="eastAsia" w:asciiTheme="minorEastAsia" w:hAnsiTheme="minorEastAsia" w:eastAsiaTheme="minorEastAsia" w:cstheme="minorEastAsia"/>
          <w:color w:val="auto"/>
          <w:spacing w:val="0"/>
          <w:w w:val="100"/>
          <w:sz w:val="24"/>
          <w:szCs w:val="24"/>
          <w:highlight w:val="none"/>
          <w:lang w:eastAsia="zh-CN"/>
        </w:rPr>
        <w:t>（</w:t>
      </w:r>
      <w:r>
        <w:rPr>
          <w:rStyle w:val="39"/>
          <w:rFonts w:hint="eastAsia" w:asciiTheme="minorEastAsia" w:hAnsiTheme="minorEastAsia" w:eastAsiaTheme="minorEastAsia" w:cstheme="minorEastAsia"/>
          <w:color w:val="auto"/>
          <w:spacing w:val="0"/>
          <w:w w:val="100"/>
          <w:sz w:val="24"/>
          <w:szCs w:val="24"/>
          <w:highlight w:val="none"/>
          <w:lang w:val="en-US" w:eastAsia="zh-CN"/>
        </w:rPr>
        <w:t>如有</w:t>
      </w:r>
      <w:r>
        <w:rPr>
          <w:rStyle w:val="39"/>
          <w:rFonts w:hint="eastAsia" w:asciiTheme="minorEastAsia" w:hAnsiTheme="minorEastAsia" w:eastAsiaTheme="minorEastAsia" w:cstheme="minorEastAsia"/>
          <w:color w:val="auto"/>
          <w:spacing w:val="0"/>
          <w:w w:val="100"/>
          <w:sz w:val="24"/>
          <w:szCs w:val="24"/>
          <w:highlight w:val="none"/>
          <w:lang w:eastAsia="zh-CN"/>
        </w:rPr>
        <w:t>）</w:t>
      </w:r>
      <w:bookmarkEnd w:id="1046"/>
    </w:p>
    <w:p w14:paraId="706BEA54">
      <w:pPr>
        <w:spacing w:line="360" w:lineRule="auto"/>
        <w:ind w:firstLine="420"/>
        <w:jc w:val="center"/>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（属于残疾人福利企业的填写</w:t>
      </w:r>
      <w:r>
        <w:rPr>
          <w:rFonts w:hint="eastAsia" w:asciiTheme="minorEastAsia" w:hAnsiTheme="minorEastAsia" w:eastAsiaTheme="minorEastAsia" w:cstheme="minorEastAsia"/>
          <w:color w:val="auto"/>
          <w:spacing w:val="0"/>
          <w:w w:val="100"/>
          <w:sz w:val="24"/>
          <w:szCs w:val="24"/>
          <w:highlight w:val="none"/>
          <w:lang w:eastAsia="zh-CN"/>
        </w:rPr>
        <w:t>，</w:t>
      </w:r>
      <w:r>
        <w:rPr>
          <w:rFonts w:hint="eastAsia" w:asciiTheme="minorEastAsia" w:hAnsiTheme="minorEastAsia" w:eastAsiaTheme="minorEastAsia" w:cstheme="minorEastAsia"/>
          <w:color w:val="auto"/>
          <w:spacing w:val="0"/>
          <w:w w:val="100"/>
          <w:sz w:val="24"/>
          <w:szCs w:val="24"/>
          <w:highlight w:val="none"/>
        </w:rPr>
        <w:t>不属于的无需填写此项内容）</w:t>
      </w:r>
    </w:p>
    <w:p w14:paraId="41C29468">
      <w:pPr>
        <w:pStyle w:val="42"/>
        <w:ind w:firstLine="420"/>
        <w:rPr>
          <w:rFonts w:hint="eastAsia" w:asciiTheme="minorEastAsia" w:hAnsiTheme="minorEastAsia" w:eastAsiaTheme="minorEastAsia" w:cstheme="minorEastAsia"/>
          <w:color w:val="auto"/>
          <w:spacing w:val="0"/>
          <w:w w:val="100"/>
          <w:sz w:val="24"/>
          <w:szCs w:val="24"/>
          <w:highlight w:val="none"/>
        </w:rPr>
      </w:pPr>
    </w:p>
    <w:p w14:paraId="011684F0">
      <w:pPr>
        <w:spacing w:line="360" w:lineRule="auto"/>
        <w:ind w:firstLine="420"/>
        <w:rPr>
          <w:rFonts w:hint="eastAsia" w:asciiTheme="minorEastAsia" w:hAnsiTheme="minorEastAsia" w:eastAsiaTheme="minorEastAsia" w:cstheme="minorEastAsia"/>
          <w:snapToGrid w:val="0"/>
          <w:color w:val="auto"/>
          <w:spacing w:val="0"/>
          <w:w w:val="100"/>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0"/>
          <w:w w:val="100"/>
          <w:kern w:val="0"/>
          <w:sz w:val="24"/>
          <w:szCs w:val="24"/>
          <w:highlight w:val="none"/>
          <w:lang w:val="en-US" w:eastAsia="en-US"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snapToGrid w:val="0"/>
          <w:color w:val="auto"/>
          <w:spacing w:val="0"/>
          <w:w w:val="100"/>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0"/>
          <w:w w:val="100"/>
          <w:kern w:val="0"/>
          <w:sz w:val="24"/>
          <w:szCs w:val="24"/>
          <w:highlight w:val="none"/>
          <w:lang w:val="en-US" w:eastAsia="en-US" w:bidi="ar-SA"/>
        </w:rPr>
        <w:t>单位的</w:t>
      </w:r>
      <w:r>
        <w:rPr>
          <w:rFonts w:hint="eastAsia" w:asciiTheme="minorEastAsia" w:hAnsiTheme="minorEastAsia" w:eastAsiaTheme="minorEastAsia" w:cstheme="minorEastAsia"/>
          <w:snapToGrid w:val="0"/>
          <w:color w:val="auto"/>
          <w:spacing w:val="0"/>
          <w:w w:val="100"/>
          <w:kern w:val="0"/>
          <w:sz w:val="24"/>
          <w:szCs w:val="24"/>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0"/>
          <w:w w:val="100"/>
          <w:kern w:val="0"/>
          <w:sz w:val="24"/>
          <w:szCs w:val="24"/>
          <w:highlight w:val="none"/>
          <w:lang w:val="en-US" w:eastAsia="en-US" w:bidi="ar-SA"/>
        </w:rPr>
        <w:t>项目采购活动提供本单位的服务。</w:t>
      </w:r>
    </w:p>
    <w:p w14:paraId="257316E4">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r>
        <w:rPr>
          <w:rFonts w:hint="eastAsia" w:ascii="宋体" w:hAnsi="宋体" w:cs="Times New Roman"/>
          <w:bCs/>
          <w:color w:val="auto"/>
          <w:spacing w:val="6"/>
          <w:kern w:val="2"/>
          <w:sz w:val="24"/>
          <w:szCs w:val="24"/>
          <w:lang w:eastAsia="zh-CN"/>
        </w:rPr>
        <w:t>本单位对上述声明的真实性负责。如有虚假，将依法承担相应责任。</w:t>
      </w:r>
    </w:p>
    <w:p w14:paraId="0E763F91">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p>
    <w:p w14:paraId="2EC34BF5">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p>
    <w:p w14:paraId="11F6900A">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p>
    <w:p w14:paraId="2A173DDE">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p>
    <w:p w14:paraId="3DF1ACFE">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供应商名称（单位电子签章）：</w:t>
      </w:r>
    </w:p>
    <w:p w14:paraId="2D4FDFE0">
      <w:pPr>
        <w:spacing w:line="360" w:lineRule="auto"/>
        <w:ind w:firstLine="420"/>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日期：</w:t>
      </w:r>
    </w:p>
    <w:p w14:paraId="6CFB2AB2">
      <w:pPr>
        <w:spacing w:line="360" w:lineRule="auto"/>
        <w:ind w:firstLine="420"/>
        <w:rPr>
          <w:rFonts w:ascii="宋体" w:hAnsi="宋体" w:cs="宋体"/>
          <w:color w:val="auto"/>
          <w:lang w:eastAsia="zh-CN"/>
        </w:rPr>
      </w:pPr>
    </w:p>
    <w:p w14:paraId="48FC32D5">
      <w:pPr>
        <w:ind w:firstLine="422"/>
        <w:rPr>
          <w:rFonts w:ascii="宋体" w:hAnsi="宋体" w:cs="宋体"/>
          <w:b/>
          <w:color w:val="auto"/>
          <w:lang w:eastAsia="zh-CN"/>
        </w:rPr>
      </w:pPr>
    </w:p>
    <w:p w14:paraId="1E733919">
      <w:pPr>
        <w:pStyle w:val="27"/>
        <w:rPr>
          <w:rFonts w:hAnsi="宋体"/>
          <w:b/>
          <w:color w:val="auto"/>
          <w:kern w:val="2"/>
          <w:sz w:val="21"/>
          <w:szCs w:val="21"/>
        </w:rPr>
      </w:pPr>
    </w:p>
    <w:p w14:paraId="633A92D8">
      <w:pPr>
        <w:pStyle w:val="19"/>
        <w:ind w:firstLine="422"/>
        <w:rPr>
          <w:rFonts w:ascii="宋体" w:hAnsi="宋体" w:cs="宋体"/>
          <w:b/>
          <w:color w:val="auto"/>
          <w:sz w:val="21"/>
          <w:szCs w:val="21"/>
          <w:lang w:eastAsia="zh-CN"/>
        </w:rPr>
      </w:pPr>
    </w:p>
    <w:p w14:paraId="646504E3">
      <w:pPr>
        <w:pStyle w:val="19"/>
        <w:ind w:firstLine="422"/>
        <w:rPr>
          <w:rFonts w:ascii="宋体" w:hAnsi="宋体" w:cs="宋体"/>
          <w:b/>
          <w:color w:val="auto"/>
          <w:sz w:val="21"/>
          <w:szCs w:val="21"/>
          <w:lang w:eastAsia="zh-CN"/>
        </w:rPr>
      </w:pPr>
    </w:p>
    <w:p w14:paraId="731EF7E8">
      <w:pPr>
        <w:pStyle w:val="19"/>
        <w:ind w:firstLine="422"/>
        <w:rPr>
          <w:rFonts w:ascii="宋体" w:hAnsi="宋体" w:cs="宋体"/>
          <w:b/>
          <w:color w:val="auto"/>
          <w:sz w:val="21"/>
          <w:szCs w:val="21"/>
          <w:lang w:eastAsia="zh-CN"/>
        </w:rPr>
      </w:pPr>
    </w:p>
    <w:p w14:paraId="13EE68CB">
      <w:pPr>
        <w:pStyle w:val="19"/>
        <w:ind w:firstLine="422"/>
        <w:rPr>
          <w:rFonts w:ascii="宋体" w:hAnsi="宋体" w:cs="宋体"/>
          <w:b/>
          <w:color w:val="auto"/>
          <w:sz w:val="21"/>
          <w:szCs w:val="21"/>
          <w:lang w:eastAsia="zh-CN"/>
        </w:rPr>
      </w:pPr>
    </w:p>
    <w:p w14:paraId="3BB6C3BE">
      <w:pPr>
        <w:pStyle w:val="19"/>
        <w:ind w:firstLine="422"/>
        <w:rPr>
          <w:rFonts w:ascii="宋体" w:hAnsi="宋体" w:cs="宋体"/>
          <w:b/>
          <w:color w:val="auto"/>
          <w:sz w:val="21"/>
          <w:szCs w:val="21"/>
          <w:lang w:eastAsia="zh-CN"/>
        </w:rPr>
      </w:pPr>
    </w:p>
    <w:p w14:paraId="53AE6FC2">
      <w:pPr>
        <w:pStyle w:val="19"/>
        <w:ind w:firstLine="422"/>
        <w:rPr>
          <w:rFonts w:ascii="宋体" w:hAnsi="宋体" w:cs="宋体"/>
          <w:b/>
          <w:color w:val="auto"/>
          <w:sz w:val="21"/>
          <w:szCs w:val="21"/>
          <w:lang w:eastAsia="zh-CN"/>
        </w:rPr>
      </w:pPr>
    </w:p>
    <w:p w14:paraId="067E0CE5">
      <w:pPr>
        <w:pStyle w:val="19"/>
        <w:ind w:firstLine="422"/>
        <w:rPr>
          <w:rFonts w:ascii="宋体" w:hAnsi="宋体" w:cs="宋体"/>
          <w:b/>
          <w:color w:val="auto"/>
          <w:sz w:val="21"/>
          <w:szCs w:val="21"/>
          <w:lang w:eastAsia="zh-CN"/>
        </w:rPr>
      </w:pPr>
    </w:p>
    <w:p w14:paraId="74FE8E6C">
      <w:pPr>
        <w:pStyle w:val="19"/>
        <w:ind w:firstLine="422"/>
        <w:rPr>
          <w:rFonts w:ascii="宋体" w:hAnsi="宋体" w:cs="宋体"/>
          <w:b/>
          <w:color w:val="auto"/>
          <w:sz w:val="21"/>
          <w:szCs w:val="21"/>
          <w:lang w:eastAsia="zh-CN"/>
        </w:rPr>
      </w:pPr>
    </w:p>
    <w:p w14:paraId="1E2ACF9C">
      <w:pPr>
        <w:pStyle w:val="19"/>
        <w:rPr>
          <w:rFonts w:ascii="宋体" w:hAnsi="宋体" w:cs="宋体"/>
          <w:b/>
          <w:color w:val="auto"/>
          <w:sz w:val="21"/>
          <w:szCs w:val="21"/>
          <w:lang w:eastAsia="zh-CN"/>
        </w:rPr>
      </w:pPr>
    </w:p>
    <w:p w14:paraId="205BEE86">
      <w:pPr>
        <w:pStyle w:val="6"/>
        <w:jc w:val="center"/>
        <w:outlineLvl w:val="9"/>
        <w:rPr>
          <w:color w:val="auto"/>
          <w:lang w:eastAsia="zh-CN"/>
        </w:rPr>
      </w:pPr>
      <w:bookmarkStart w:id="1047" w:name="_Toc3857"/>
      <w:bookmarkStart w:id="1048" w:name="_Toc606"/>
      <w:r>
        <w:rPr>
          <w:rFonts w:hint="eastAsia"/>
          <w:color w:val="auto"/>
          <w:lang w:eastAsia="zh-CN"/>
        </w:rPr>
        <w:t>十</w:t>
      </w:r>
      <w:r>
        <w:rPr>
          <w:rFonts w:hint="eastAsia"/>
          <w:color w:val="auto"/>
          <w:lang w:val="en-US" w:eastAsia="zh-CN"/>
        </w:rPr>
        <w:t>二</w:t>
      </w:r>
      <w:r>
        <w:rPr>
          <w:rFonts w:hint="eastAsia"/>
          <w:color w:val="auto"/>
          <w:lang w:eastAsia="zh-CN"/>
        </w:rPr>
        <w:t>、监狱企业证明文件（如有）</w:t>
      </w:r>
      <w:bookmarkEnd w:id="1047"/>
      <w:bookmarkEnd w:id="1048"/>
    </w:p>
    <w:p w14:paraId="0AD597F6">
      <w:pPr>
        <w:spacing w:line="360" w:lineRule="auto"/>
        <w:ind w:firstLine="420"/>
        <w:rPr>
          <w:rFonts w:ascii="宋体" w:hAnsi="宋体" w:cs="宋体"/>
          <w:color w:val="auto"/>
          <w:lang w:eastAsia="zh-CN"/>
        </w:rPr>
      </w:pPr>
      <w:r>
        <w:rPr>
          <w:rFonts w:hint="eastAsia" w:ascii="宋体" w:hAnsi="宋体" w:cs="宋体"/>
          <w:color w:val="auto"/>
          <w:lang w:eastAsia="zh-CN"/>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60CF24BA">
      <w:pPr>
        <w:spacing w:line="360" w:lineRule="auto"/>
        <w:ind w:firstLine="420"/>
        <w:jc w:val="center"/>
        <w:rPr>
          <w:rFonts w:ascii="宋体" w:hAnsi="宋体" w:cs="宋体"/>
          <w:color w:val="auto"/>
          <w:lang w:eastAsia="zh-CN"/>
        </w:rPr>
      </w:pPr>
    </w:p>
    <w:p w14:paraId="7F231DF2">
      <w:pPr>
        <w:spacing w:line="360" w:lineRule="auto"/>
        <w:ind w:firstLine="420"/>
        <w:jc w:val="center"/>
        <w:rPr>
          <w:rFonts w:ascii="宋体" w:hAnsi="宋体" w:cs="宋体"/>
          <w:color w:val="auto"/>
          <w:lang w:eastAsia="zh-CN"/>
        </w:rPr>
      </w:pPr>
    </w:p>
    <w:p w14:paraId="0D30C34F">
      <w:pPr>
        <w:spacing w:line="360" w:lineRule="auto"/>
        <w:ind w:firstLine="420"/>
        <w:rPr>
          <w:rFonts w:ascii="宋体" w:hAnsi="宋体" w:cs="宋体"/>
          <w:color w:val="auto"/>
          <w:lang w:eastAsia="zh-CN"/>
        </w:rPr>
      </w:pPr>
      <w:r>
        <w:rPr>
          <w:rFonts w:hint="eastAsia" w:ascii="宋体" w:hAnsi="宋体" w:cs="宋体"/>
          <w:color w:val="auto"/>
          <w:lang w:eastAsia="zh-CN"/>
        </w:rPr>
        <w:t>注：在投标文件中附扫描件。</w:t>
      </w:r>
    </w:p>
    <w:p w14:paraId="64188A24">
      <w:pPr>
        <w:ind w:firstLine="420"/>
        <w:rPr>
          <w:color w:val="auto"/>
          <w:lang w:eastAsia="zh-CN"/>
        </w:rPr>
      </w:pPr>
    </w:p>
    <w:p w14:paraId="0E0D1BC3">
      <w:pPr>
        <w:pStyle w:val="2"/>
        <w:ind w:firstLine="210"/>
        <w:rPr>
          <w:rFonts w:ascii="宋体" w:hAnsi="宋体" w:cs="宋体"/>
          <w:color w:val="auto"/>
          <w:lang w:eastAsia="zh-CN"/>
        </w:rPr>
      </w:pPr>
    </w:p>
    <w:p w14:paraId="16FCA316">
      <w:pPr>
        <w:pStyle w:val="5"/>
        <w:outlineLvl w:val="9"/>
        <w:rPr>
          <w:rFonts w:ascii="宋体" w:hAnsi="宋体" w:cs="宋体"/>
          <w:color w:val="auto"/>
          <w:sz w:val="28"/>
          <w:szCs w:val="28"/>
          <w:lang w:eastAsia="zh-CN"/>
        </w:rPr>
      </w:pPr>
      <w:r>
        <w:rPr>
          <w:rFonts w:ascii="宋体" w:hAnsi="宋体" w:cs="宋体"/>
          <w:color w:val="auto"/>
          <w:sz w:val="28"/>
          <w:szCs w:val="28"/>
          <w:lang w:eastAsia="zh-CN"/>
        </w:rPr>
        <w:br w:type="page"/>
      </w:r>
      <w:bookmarkStart w:id="1049" w:name="_Toc30261"/>
      <w:bookmarkStart w:id="1050" w:name="_Toc6280"/>
      <w:r>
        <w:rPr>
          <w:rStyle w:val="39"/>
          <w:rFonts w:hint="eastAsia"/>
          <w:b/>
          <w:color w:val="auto"/>
          <w:lang w:eastAsia="zh-CN"/>
        </w:rPr>
        <w:t>十</w:t>
      </w:r>
      <w:r>
        <w:rPr>
          <w:rStyle w:val="39"/>
          <w:rFonts w:hint="eastAsia"/>
          <w:b/>
          <w:color w:val="auto"/>
          <w:lang w:val="en-US" w:eastAsia="zh-CN"/>
        </w:rPr>
        <w:t>三</w:t>
      </w:r>
      <w:r>
        <w:rPr>
          <w:rStyle w:val="39"/>
          <w:rFonts w:hint="eastAsia"/>
          <w:b/>
          <w:color w:val="auto"/>
          <w:lang w:eastAsia="zh-CN"/>
        </w:rPr>
        <w:t>、反商业贿赂承诺书</w:t>
      </w:r>
      <w:bookmarkEnd w:id="1049"/>
      <w:bookmarkEnd w:id="1050"/>
    </w:p>
    <w:p w14:paraId="128B453F">
      <w:pPr>
        <w:ind w:firstLine="420"/>
        <w:rPr>
          <w:color w:val="auto"/>
          <w:lang w:eastAsia="zh-CN"/>
        </w:rPr>
      </w:pPr>
    </w:p>
    <w:p w14:paraId="4FF4B7B1">
      <w:pPr>
        <w:spacing w:line="360" w:lineRule="auto"/>
        <w:ind w:firstLine="630" w:firstLineChars="300"/>
        <w:rPr>
          <w:rFonts w:ascii="宋体" w:hAnsi="宋体" w:cs="宋体"/>
          <w:color w:val="auto"/>
          <w:lang w:val="zh-CN" w:eastAsia="zh-CN"/>
        </w:rPr>
      </w:pPr>
      <w:r>
        <w:rPr>
          <w:rFonts w:hint="eastAsia" w:ascii="宋体" w:hAnsi="宋体" w:cs="宋体"/>
          <w:color w:val="auto"/>
          <w:lang w:val="zh-CN" w:eastAsia="zh-CN"/>
        </w:rPr>
        <w:t>我方承诺：</w:t>
      </w:r>
    </w:p>
    <w:p w14:paraId="031B38FE">
      <w:pPr>
        <w:spacing w:line="360" w:lineRule="auto"/>
        <w:ind w:firstLine="630" w:firstLineChars="300"/>
        <w:rPr>
          <w:rFonts w:ascii="宋体" w:hAnsi="宋体" w:cs="宋体"/>
          <w:color w:val="auto"/>
          <w:lang w:val="zh-CN" w:eastAsia="zh-CN"/>
        </w:rPr>
      </w:pPr>
      <w:r>
        <w:rPr>
          <w:rFonts w:hint="eastAsia" w:ascii="宋体" w:hAnsi="宋体" w:cs="宋体"/>
          <w:color w:val="auto"/>
          <w:lang w:val="zh-CN" w:eastAsia="zh-CN"/>
        </w:rPr>
        <w:t>在</w:t>
      </w:r>
      <w:r>
        <w:rPr>
          <w:rFonts w:hint="eastAsia" w:ascii="宋体" w:hAnsi="宋体" w:cs="宋体"/>
          <w:color w:val="auto"/>
          <w:u w:val="single"/>
          <w:lang w:eastAsia="zh-CN"/>
        </w:rPr>
        <w:t xml:space="preserve">                    </w:t>
      </w:r>
      <w:r>
        <w:rPr>
          <w:rFonts w:hint="eastAsia" w:ascii="宋体" w:hAnsi="宋体" w:cs="宋体"/>
          <w:color w:val="auto"/>
          <w:u w:val="single"/>
          <w:lang w:val="zh-CN" w:eastAsia="zh-CN"/>
        </w:rPr>
        <w:t>（项目名称）</w:t>
      </w:r>
      <w:r>
        <w:rPr>
          <w:rFonts w:hint="eastAsia" w:ascii="宋体" w:hAnsi="宋体" w:cs="宋体"/>
          <w:color w:val="auto"/>
          <w:u w:val="single"/>
          <w:lang w:eastAsia="zh-CN"/>
        </w:rPr>
        <w:t xml:space="preserve">  </w:t>
      </w:r>
      <w:r>
        <w:rPr>
          <w:rFonts w:hint="eastAsia" w:ascii="宋体" w:hAnsi="宋体" w:cs="宋体"/>
          <w:color w:val="auto"/>
          <w:u w:val="single"/>
          <w:lang w:val="zh-CN" w:eastAsia="zh-CN"/>
        </w:rPr>
        <w:t>（项目编号：  ）</w:t>
      </w:r>
      <w:r>
        <w:rPr>
          <w:rFonts w:hint="eastAsia" w:ascii="宋体" w:hAnsi="宋体" w:cs="宋体"/>
          <w:color w:val="auto"/>
          <w:lang w:val="zh-CN" w:eastAsia="zh-CN"/>
        </w:rPr>
        <w:t>投标活动中，我方保证做到：</w:t>
      </w:r>
    </w:p>
    <w:p w14:paraId="3CE7AB20">
      <w:pPr>
        <w:spacing w:line="360" w:lineRule="auto"/>
        <w:ind w:firstLine="630" w:firstLineChars="300"/>
        <w:rPr>
          <w:rFonts w:ascii="宋体" w:hAnsi="宋体" w:cs="宋体"/>
          <w:color w:val="auto"/>
          <w:lang w:val="zh-CN" w:eastAsia="zh-CN"/>
        </w:rPr>
      </w:pPr>
      <w:r>
        <w:rPr>
          <w:rFonts w:hint="eastAsia" w:ascii="宋体" w:hAnsi="宋体" w:cs="宋体"/>
          <w:color w:val="auto"/>
          <w:lang w:val="zh-CN" w:eastAsia="zh-CN"/>
        </w:rPr>
        <w:t>一、公平竞争参加本次公开采购活动。</w:t>
      </w:r>
    </w:p>
    <w:p w14:paraId="504653E3">
      <w:pPr>
        <w:spacing w:line="360" w:lineRule="auto"/>
        <w:ind w:firstLine="630" w:firstLineChars="300"/>
        <w:rPr>
          <w:rFonts w:ascii="宋体" w:hAnsi="宋体" w:cs="宋体"/>
          <w:color w:val="auto"/>
          <w:lang w:val="zh-CN" w:eastAsia="zh-CN"/>
        </w:rPr>
      </w:pPr>
      <w:r>
        <w:rPr>
          <w:rFonts w:hint="eastAsia" w:ascii="宋体" w:hAnsi="宋体" w:cs="宋体"/>
          <w:color w:val="auto"/>
          <w:lang w:val="zh-CN"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262B9D7">
      <w:pPr>
        <w:spacing w:line="360" w:lineRule="auto"/>
        <w:ind w:firstLine="630" w:firstLineChars="300"/>
        <w:rPr>
          <w:rFonts w:ascii="宋体" w:hAnsi="宋体" w:cs="宋体"/>
          <w:color w:val="auto"/>
          <w:lang w:val="zh-CN" w:eastAsia="zh-CN"/>
        </w:rPr>
      </w:pPr>
      <w:r>
        <w:rPr>
          <w:rFonts w:hint="eastAsia" w:ascii="宋体" w:hAnsi="宋体" w:cs="宋体"/>
          <w:color w:val="auto"/>
          <w:lang w:val="zh-CN" w:eastAsia="zh-CN"/>
        </w:rPr>
        <w:t>三、若出现上述行为，我方及参与投标的工作人员愿意接受按照国家法律法规等有关规定给予的处罚。</w:t>
      </w:r>
    </w:p>
    <w:p w14:paraId="2774781D">
      <w:pPr>
        <w:spacing w:line="360" w:lineRule="auto"/>
        <w:ind w:left="645" w:leftChars="0" w:firstLine="420" w:firstLineChars="0"/>
        <w:outlineLvl w:val="9"/>
        <w:rPr>
          <w:rFonts w:ascii="宋体" w:hAnsi="宋体" w:cs="宋体"/>
          <w:color w:val="auto"/>
          <w:lang w:eastAsia="zh-CN"/>
        </w:rPr>
      </w:pPr>
      <w:bookmarkStart w:id="1051" w:name="_Toc22435"/>
      <w:bookmarkStart w:id="1052" w:name="_Toc30283"/>
      <w:r>
        <w:rPr>
          <w:rFonts w:hint="eastAsia" w:ascii="宋体" w:hAnsi="宋体" w:cs="宋体"/>
          <w:color w:val="auto"/>
          <w:lang w:eastAsia="zh-CN"/>
        </w:rPr>
        <w:br w:type="textWrapping"/>
      </w:r>
      <w:r>
        <w:rPr>
          <w:rFonts w:hint="eastAsia" w:ascii="宋体" w:hAnsi="宋体" w:cs="宋体"/>
          <w:color w:val="auto"/>
          <w:lang w:eastAsia="zh-CN"/>
        </w:rPr>
        <w:br w:type="textWrapping"/>
      </w:r>
      <w:r>
        <w:rPr>
          <w:rFonts w:hint="eastAsia" w:ascii="宋体" w:hAnsi="宋体" w:cs="宋体"/>
          <w:color w:val="auto"/>
          <w:lang w:eastAsia="zh-CN"/>
        </w:rPr>
        <w:br w:type="textWrapping"/>
      </w:r>
      <w:r>
        <w:rPr>
          <w:rFonts w:hint="eastAsia" w:ascii="宋体" w:hAnsi="宋体" w:cs="宋体"/>
          <w:color w:val="auto"/>
          <w:lang w:eastAsia="zh-CN"/>
        </w:rPr>
        <w:t>供应商（单位电子签章）：</w:t>
      </w:r>
      <w:bookmarkEnd w:id="1051"/>
      <w:bookmarkEnd w:id="1052"/>
      <w:r>
        <w:rPr>
          <w:rFonts w:hint="eastAsia" w:ascii="宋体" w:hAnsi="宋体" w:cs="宋体"/>
          <w:color w:val="auto"/>
          <w:lang w:eastAsia="zh-CN"/>
        </w:rPr>
        <w:t>　</w:t>
      </w:r>
    </w:p>
    <w:p w14:paraId="208D9E80">
      <w:pPr>
        <w:spacing w:line="360" w:lineRule="auto"/>
        <w:ind w:left="630" w:leftChars="300" w:firstLine="0" w:firstLineChars="0"/>
        <w:outlineLvl w:val="9"/>
        <w:rPr>
          <w:rFonts w:ascii="宋体" w:hAnsi="宋体" w:cs="宋体"/>
          <w:color w:val="auto"/>
          <w:lang w:eastAsia="zh-CN"/>
        </w:rPr>
      </w:pPr>
      <w:bookmarkStart w:id="1053" w:name="_Toc26480"/>
      <w:bookmarkStart w:id="1054" w:name="_Toc824"/>
      <w:r>
        <w:rPr>
          <w:rFonts w:hint="eastAsia" w:ascii="宋体" w:hAnsi="宋体" w:cs="宋体"/>
          <w:color w:val="auto"/>
          <w:lang w:eastAsia="zh-CN"/>
        </w:rPr>
        <w:br w:type="textWrapping"/>
      </w:r>
      <w:r>
        <w:rPr>
          <w:rFonts w:hint="eastAsia" w:ascii="宋体" w:hAnsi="宋体" w:cs="宋体"/>
          <w:color w:val="auto"/>
          <w:lang w:eastAsia="zh-CN"/>
        </w:rPr>
        <w:t>法定代表人或授权代表（电子签名或电子签章）：</w:t>
      </w:r>
      <w:bookmarkEnd w:id="1053"/>
      <w:bookmarkEnd w:id="1054"/>
    </w:p>
    <w:p w14:paraId="17CCF41E">
      <w:pPr>
        <w:spacing w:line="360" w:lineRule="auto"/>
        <w:ind w:left="645" w:leftChars="0" w:firstLine="420" w:firstLineChars="0"/>
        <w:outlineLvl w:val="9"/>
        <w:rPr>
          <w:rFonts w:ascii="宋体" w:hAnsi="宋体" w:cs="宋体"/>
          <w:color w:val="auto"/>
        </w:rPr>
      </w:pPr>
      <w:bookmarkStart w:id="1055" w:name="_Toc5000"/>
      <w:bookmarkStart w:id="1056" w:name="_Toc29482"/>
      <w:r>
        <w:rPr>
          <w:rFonts w:hint="eastAsia" w:ascii="宋体" w:hAnsi="宋体" w:cs="宋体"/>
          <w:color w:val="auto"/>
        </w:rPr>
        <w:br w:type="textWrapping"/>
      </w:r>
      <w:r>
        <w:rPr>
          <w:rFonts w:hint="eastAsia" w:ascii="宋体" w:hAnsi="宋体" w:cs="宋体"/>
          <w:color w:val="auto"/>
        </w:rPr>
        <w:t>日期：    年　　月　　日</w:t>
      </w:r>
      <w:bookmarkEnd w:id="1055"/>
      <w:bookmarkEnd w:id="1056"/>
    </w:p>
    <w:p w14:paraId="72A818E7">
      <w:pPr>
        <w:pStyle w:val="6"/>
        <w:jc w:val="center"/>
        <w:outlineLvl w:val="9"/>
        <w:rPr>
          <w:rFonts w:hint="eastAsia"/>
          <w:color w:val="auto"/>
        </w:rPr>
        <w:sectPr>
          <w:pgSz w:w="11900" w:h="16840"/>
          <w:pgMar w:top="1350" w:right="1785" w:bottom="0" w:left="1785" w:header="0" w:footer="0" w:gutter="0"/>
          <w:pgNumType w:fmt="decimal"/>
          <w:cols w:space="720" w:num="1"/>
        </w:sectPr>
      </w:pPr>
      <w:bookmarkStart w:id="1057" w:name="_Toc24929"/>
      <w:bookmarkStart w:id="1058" w:name="_Toc30511"/>
    </w:p>
    <w:p w14:paraId="3F065F4B">
      <w:pPr>
        <w:pStyle w:val="6"/>
        <w:jc w:val="center"/>
        <w:outlineLvl w:val="9"/>
        <w:rPr>
          <w:color w:val="auto"/>
        </w:rPr>
      </w:pPr>
      <w:r>
        <w:rPr>
          <w:rFonts w:hint="eastAsia"/>
          <w:color w:val="auto"/>
        </w:rPr>
        <w:t>十</w:t>
      </w:r>
      <w:r>
        <w:rPr>
          <w:rFonts w:hint="eastAsia"/>
          <w:color w:val="auto"/>
          <w:lang w:val="en-US" w:eastAsia="zh-CN"/>
        </w:rPr>
        <w:t>四</w:t>
      </w:r>
      <w:r>
        <w:rPr>
          <w:rFonts w:hint="eastAsia"/>
          <w:color w:val="auto"/>
        </w:rPr>
        <w:t>、其他材料</w:t>
      </w:r>
      <w:bookmarkEnd w:id="1057"/>
      <w:bookmarkEnd w:id="1058"/>
    </w:p>
    <w:p w14:paraId="5E466E18">
      <w:pPr>
        <w:jc w:val="center"/>
        <w:rPr>
          <w:rFonts w:ascii="宋体" w:hAnsi="宋体" w:cs="宋体"/>
          <w:color w:val="auto"/>
          <w:lang w:eastAsia="zh-CN"/>
        </w:rPr>
      </w:pPr>
      <w:r>
        <w:rPr>
          <w:rFonts w:hint="eastAsia" w:ascii="宋体" w:hAnsi="宋体" w:cs="宋体"/>
          <w:b/>
          <w:color w:val="auto"/>
          <w:lang w:eastAsia="zh-CN"/>
        </w:rPr>
        <w:t>（1）供应商认为需要的其他资料</w:t>
      </w:r>
    </w:p>
    <w:p w14:paraId="510E00C8">
      <w:pPr>
        <w:widowControl w:val="0"/>
        <w:kinsoku/>
        <w:autoSpaceDE/>
        <w:autoSpaceDN/>
        <w:spacing w:line="360" w:lineRule="auto"/>
        <w:jc w:val="center"/>
        <w:textAlignment w:val="auto"/>
        <w:rPr>
          <w:rFonts w:ascii="宋体" w:hAnsi="宋体" w:cs="宋体"/>
          <w:color w:val="auto"/>
          <w:lang w:eastAsia="zh-CN"/>
        </w:rPr>
      </w:pPr>
      <w:r>
        <w:rPr>
          <w:rFonts w:hint="eastAsia" w:ascii="宋体" w:hAnsi="宋体" w:cs="宋体"/>
          <w:color w:val="auto"/>
          <w:lang w:eastAsia="zh-CN"/>
        </w:rPr>
        <w:t>（包括但不限于以下内容）</w:t>
      </w:r>
    </w:p>
    <w:p w14:paraId="6AE13D4E">
      <w:pPr>
        <w:widowControl w:val="0"/>
        <w:kinsoku/>
        <w:autoSpaceDE/>
        <w:autoSpaceDN/>
        <w:spacing w:line="360" w:lineRule="auto"/>
        <w:jc w:val="both"/>
        <w:textAlignment w:val="auto"/>
        <w:rPr>
          <w:rFonts w:ascii="宋体" w:hAnsi="宋体" w:cs="宋体"/>
          <w:color w:val="auto"/>
          <w:lang w:eastAsia="zh-CN"/>
        </w:rPr>
      </w:pPr>
      <w:r>
        <w:rPr>
          <w:rFonts w:hint="eastAsia" w:ascii="宋体" w:hAnsi="宋体" w:cs="宋体"/>
          <w:color w:val="auto"/>
          <w:lang w:eastAsia="zh-CN"/>
        </w:rPr>
        <w:t>1、业绩</w:t>
      </w:r>
    </w:p>
    <w:p w14:paraId="4153758A">
      <w:pPr>
        <w:pStyle w:val="14"/>
        <w:widowControl w:val="0"/>
        <w:kinsoku/>
        <w:autoSpaceDE/>
        <w:autoSpaceDN/>
        <w:spacing w:after="0" w:line="360" w:lineRule="auto"/>
        <w:ind w:left="0" w:leftChars="0"/>
        <w:jc w:val="both"/>
        <w:textAlignment w:val="auto"/>
        <w:rPr>
          <w:color w:val="auto"/>
          <w:lang w:eastAsia="zh-CN"/>
        </w:rPr>
      </w:pPr>
      <w:r>
        <w:rPr>
          <w:rFonts w:hint="eastAsia"/>
          <w:color w:val="auto"/>
          <w:lang w:eastAsia="zh-CN"/>
        </w:rPr>
        <w:t>2、人员配置</w:t>
      </w:r>
    </w:p>
    <w:p w14:paraId="4D29EBC1">
      <w:pPr>
        <w:pStyle w:val="14"/>
        <w:widowControl w:val="0"/>
        <w:kinsoku/>
        <w:autoSpaceDE/>
        <w:autoSpaceDN/>
        <w:spacing w:after="0" w:line="360" w:lineRule="auto"/>
        <w:ind w:left="0" w:leftChars="0"/>
        <w:jc w:val="both"/>
        <w:textAlignment w:val="auto"/>
        <w:rPr>
          <w:color w:val="auto"/>
          <w:lang w:eastAsia="zh-CN"/>
        </w:rPr>
      </w:pPr>
      <w:r>
        <w:rPr>
          <w:rFonts w:hint="eastAsia"/>
          <w:color w:val="auto"/>
          <w:lang w:eastAsia="zh-CN"/>
        </w:rPr>
        <w:t>3、企业荣誉</w:t>
      </w:r>
    </w:p>
    <w:p w14:paraId="2C3CD7D6">
      <w:pPr>
        <w:widowControl w:val="0"/>
        <w:kinsoku/>
        <w:autoSpaceDE/>
        <w:autoSpaceDN/>
        <w:spacing w:line="360" w:lineRule="auto"/>
        <w:jc w:val="both"/>
        <w:textAlignment w:val="auto"/>
        <w:rPr>
          <w:rFonts w:ascii="宋体" w:hAnsi="宋体" w:cs="宋体"/>
          <w:color w:val="auto"/>
          <w:lang w:eastAsia="zh-CN"/>
        </w:rPr>
      </w:pPr>
      <w:r>
        <w:rPr>
          <w:rFonts w:hint="eastAsia" w:ascii="宋体" w:hAnsi="宋体" w:cs="宋体"/>
          <w:color w:val="auto"/>
          <w:lang w:eastAsia="zh-CN"/>
        </w:rPr>
        <w:t>4、供应商认为其他必要的资料</w:t>
      </w:r>
    </w:p>
    <w:p w14:paraId="0BD6FD8E">
      <w:pPr>
        <w:widowControl w:val="0"/>
        <w:kinsoku/>
        <w:autoSpaceDE/>
        <w:autoSpaceDN/>
        <w:spacing w:line="360" w:lineRule="auto"/>
        <w:jc w:val="both"/>
        <w:textAlignment w:val="auto"/>
        <w:rPr>
          <w:rFonts w:ascii="宋体" w:hAnsi="宋体" w:cs="宋体"/>
          <w:color w:val="auto"/>
          <w:lang w:eastAsia="zh-CN"/>
        </w:rPr>
      </w:pPr>
      <w:r>
        <w:rPr>
          <w:rFonts w:hint="eastAsia" w:ascii="宋体" w:hAnsi="宋体" w:cs="宋体"/>
          <w:color w:val="auto"/>
          <w:lang w:eastAsia="zh-CN"/>
        </w:rPr>
        <w:br w:type="page"/>
      </w:r>
      <w:r>
        <w:rPr>
          <w:rFonts w:hint="eastAsia" w:ascii="宋体" w:hAnsi="宋体" w:cs="宋体"/>
          <w:color w:val="auto"/>
          <w:lang w:eastAsia="zh-CN"/>
        </w:rPr>
        <w:t>附件（1）</w:t>
      </w:r>
    </w:p>
    <w:p w14:paraId="55BCB0E1">
      <w:pPr>
        <w:pStyle w:val="6"/>
        <w:numPr>
          <w:ilvl w:val="1"/>
          <w:numId w:val="0"/>
        </w:numPr>
        <w:ind w:left="0" w:leftChars="0" w:firstLine="0" w:firstLineChars="0"/>
        <w:jc w:val="center"/>
        <w:outlineLvl w:val="9"/>
        <w:rPr>
          <w:rFonts w:eastAsia="宋体"/>
          <w:color w:val="auto"/>
          <w:sz w:val="28"/>
          <w:szCs w:val="28"/>
          <w:lang w:eastAsia="zh-CN"/>
        </w:rPr>
      </w:pPr>
      <w:r>
        <w:rPr>
          <w:rFonts w:hint="eastAsia"/>
          <w:color w:val="auto"/>
          <w:sz w:val="28"/>
          <w:szCs w:val="28"/>
          <w:lang w:eastAsia="zh-CN"/>
        </w:rPr>
        <w:t xml:space="preserve"> 二次报价表</w:t>
      </w:r>
    </w:p>
    <w:tbl>
      <w:tblPr>
        <w:tblStyle w:val="2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868"/>
        <w:gridCol w:w="3219"/>
      </w:tblGrid>
      <w:tr w14:paraId="7DB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6B4BDBA5">
            <w:pPr>
              <w:jc w:val="center"/>
              <w:rPr>
                <w:rFonts w:ascii="宋体" w:hAnsi="宋体"/>
                <w:color w:val="auto"/>
              </w:rPr>
            </w:pPr>
            <w:r>
              <w:rPr>
                <w:rFonts w:hint="eastAsia" w:ascii="宋体" w:hAnsi="宋体"/>
                <w:color w:val="auto"/>
              </w:rPr>
              <w:t>项目名称</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7BC55382">
            <w:pPr>
              <w:ind w:firstLine="420"/>
              <w:jc w:val="center"/>
              <w:rPr>
                <w:rFonts w:ascii="宋体" w:hAnsi="宋体"/>
                <w:color w:val="auto"/>
              </w:rPr>
            </w:pPr>
          </w:p>
        </w:tc>
      </w:tr>
      <w:tr w14:paraId="725F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53864148">
            <w:pPr>
              <w:jc w:val="center"/>
              <w:rPr>
                <w:rFonts w:ascii="宋体" w:hAnsi="宋体"/>
                <w:color w:val="auto"/>
              </w:rPr>
            </w:pPr>
            <w:r>
              <w:rPr>
                <w:rFonts w:hint="eastAsia" w:ascii="宋体" w:hAnsi="宋体"/>
                <w:color w:val="auto"/>
              </w:rPr>
              <w:t>供应商</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336D8AF8">
            <w:pPr>
              <w:ind w:firstLine="420"/>
              <w:jc w:val="center"/>
              <w:rPr>
                <w:rFonts w:ascii="宋体" w:hAnsi="宋体"/>
                <w:color w:val="auto"/>
              </w:rPr>
            </w:pPr>
          </w:p>
        </w:tc>
      </w:tr>
      <w:tr w14:paraId="6984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restart"/>
            <w:tcBorders>
              <w:top w:val="single" w:color="auto" w:sz="4" w:space="0"/>
              <w:left w:val="single" w:color="auto" w:sz="4" w:space="0"/>
              <w:right w:val="single" w:color="auto" w:sz="4" w:space="0"/>
            </w:tcBorders>
            <w:vAlign w:val="center"/>
          </w:tcPr>
          <w:p w14:paraId="00C12705">
            <w:pPr>
              <w:spacing w:line="360" w:lineRule="exact"/>
              <w:jc w:val="center"/>
              <w:rPr>
                <w:rFonts w:ascii="宋体" w:hAnsi="宋体"/>
                <w:color w:val="auto"/>
              </w:rPr>
            </w:pPr>
            <w:r>
              <w:rPr>
                <w:rFonts w:hint="eastAsia" w:ascii="宋体" w:hAnsi="宋体"/>
                <w:color w:val="auto"/>
              </w:rPr>
              <w:t>投标报价（元）</w:t>
            </w:r>
          </w:p>
        </w:tc>
        <w:tc>
          <w:tcPr>
            <w:tcW w:w="2868" w:type="dxa"/>
            <w:tcBorders>
              <w:top w:val="single" w:color="auto" w:sz="4" w:space="0"/>
              <w:left w:val="single" w:color="auto" w:sz="4" w:space="0"/>
              <w:bottom w:val="single" w:color="auto" w:sz="4" w:space="0"/>
              <w:right w:val="single" w:color="auto" w:sz="4" w:space="0"/>
            </w:tcBorders>
            <w:vAlign w:val="center"/>
          </w:tcPr>
          <w:p w14:paraId="05749458">
            <w:pPr>
              <w:jc w:val="center"/>
              <w:rPr>
                <w:rFonts w:ascii="宋体" w:hAnsi="宋体"/>
                <w:color w:val="auto"/>
              </w:rPr>
            </w:pPr>
            <w:r>
              <w:rPr>
                <w:rFonts w:hint="eastAsia" w:ascii="宋体" w:hAnsi="宋体"/>
                <w:color w:val="auto"/>
              </w:rPr>
              <w:t>（大写）</w:t>
            </w:r>
          </w:p>
        </w:tc>
        <w:tc>
          <w:tcPr>
            <w:tcW w:w="3219" w:type="dxa"/>
            <w:tcBorders>
              <w:top w:val="single" w:color="auto" w:sz="4" w:space="0"/>
              <w:left w:val="single" w:color="auto" w:sz="4" w:space="0"/>
              <w:bottom w:val="single" w:color="auto" w:sz="4" w:space="0"/>
              <w:right w:val="single" w:color="auto" w:sz="4" w:space="0"/>
            </w:tcBorders>
            <w:vAlign w:val="center"/>
          </w:tcPr>
          <w:p w14:paraId="48378ABE">
            <w:pPr>
              <w:jc w:val="center"/>
              <w:rPr>
                <w:rFonts w:ascii="宋体" w:hAnsi="宋体"/>
                <w:color w:val="auto"/>
              </w:rPr>
            </w:pPr>
            <w:r>
              <w:rPr>
                <w:rFonts w:hint="eastAsia" w:ascii="宋体" w:hAnsi="宋体"/>
                <w:color w:val="auto"/>
              </w:rPr>
              <w:t>（小写）</w:t>
            </w:r>
          </w:p>
        </w:tc>
      </w:tr>
      <w:tr w14:paraId="06B9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3312" w:type="dxa"/>
            <w:vMerge w:val="continue"/>
            <w:tcBorders>
              <w:left w:val="single" w:color="auto" w:sz="4" w:space="0"/>
              <w:bottom w:val="single" w:color="auto" w:sz="4" w:space="0"/>
              <w:right w:val="single" w:color="auto" w:sz="4" w:space="0"/>
            </w:tcBorders>
            <w:vAlign w:val="center"/>
          </w:tcPr>
          <w:p w14:paraId="5EFFDC0C">
            <w:pPr>
              <w:spacing w:line="360" w:lineRule="exact"/>
              <w:ind w:firstLine="420"/>
              <w:jc w:val="center"/>
              <w:rPr>
                <w:rFonts w:ascii="宋体" w:hAnsi="宋体"/>
                <w:color w:val="auto"/>
              </w:rPr>
            </w:pP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4CB1F18B">
            <w:pPr>
              <w:jc w:val="center"/>
              <w:rPr>
                <w:rFonts w:ascii="宋体" w:hAnsi="宋体"/>
                <w:color w:val="auto"/>
                <w:lang w:eastAsia="zh-CN"/>
              </w:rPr>
            </w:pPr>
            <w:r>
              <w:rPr>
                <w:rFonts w:hint="eastAsia" w:ascii="宋体" w:hAnsi="宋体"/>
                <w:b/>
                <w:bCs/>
                <w:color w:val="auto"/>
                <w:sz w:val="16"/>
                <w:szCs w:val="16"/>
                <w:lang w:eastAsia="zh-CN"/>
              </w:rPr>
              <w:t>（供应商在此填列第二次报价，以供应商第二次的报价为成交价，本表在第二次报价时上传至系统附件）</w:t>
            </w:r>
          </w:p>
        </w:tc>
      </w:tr>
      <w:tr w14:paraId="0873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039B6B44">
            <w:pPr>
              <w:jc w:val="center"/>
              <w:rPr>
                <w:rFonts w:ascii="宋体" w:hAnsi="宋体"/>
                <w:color w:val="auto"/>
              </w:rPr>
            </w:pPr>
            <w:r>
              <w:rPr>
                <w:rFonts w:hint="eastAsia" w:ascii="宋体" w:hAnsi="宋体"/>
                <w:color w:val="auto"/>
              </w:rPr>
              <w:t>质量要求</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1CA5B637">
            <w:pPr>
              <w:ind w:firstLine="420"/>
              <w:jc w:val="center"/>
              <w:rPr>
                <w:rFonts w:ascii="宋体" w:hAnsi="宋体"/>
                <w:color w:val="auto"/>
              </w:rPr>
            </w:pPr>
          </w:p>
        </w:tc>
      </w:tr>
      <w:tr w14:paraId="5AC9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5F612C36">
            <w:pPr>
              <w:jc w:val="center"/>
              <w:rPr>
                <w:rFonts w:ascii="宋体" w:hAnsi="宋体" w:eastAsia="宋体"/>
                <w:color w:val="auto"/>
                <w:lang w:eastAsia="zh-CN"/>
              </w:rPr>
            </w:pPr>
            <w:r>
              <w:rPr>
                <w:rFonts w:hint="eastAsia" w:ascii="宋体" w:hAnsi="宋体"/>
                <w:color w:val="auto"/>
                <w:lang w:eastAsia="zh-CN"/>
              </w:rPr>
              <w:t>服务期限</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1F0B3780">
            <w:pPr>
              <w:ind w:firstLine="420"/>
              <w:jc w:val="center"/>
              <w:rPr>
                <w:rFonts w:ascii="宋体" w:hAnsi="宋体"/>
                <w:color w:val="auto"/>
              </w:rPr>
            </w:pPr>
          </w:p>
        </w:tc>
      </w:tr>
      <w:tr w14:paraId="6A90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726D90F5">
            <w:pPr>
              <w:jc w:val="center"/>
              <w:rPr>
                <w:rFonts w:ascii="宋体" w:hAnsi="宋体"/>
                <w:color w:val="auto"/>
              </w:rPr>
            </w:pPr>
            <w:r>
              <w:rPr>
                <w:rFonts w:hint="eastAsia" w:ascii="宋体" w:hAnsi="宋体"/>
                <w:color w:val="auto"/>
              </w:rPr>
              <w:t>磋商有效期</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74A5B918">
            <w:pPr>
              <w:ind w:firstLine="420"/>
              <w:jc w:val="center"/>
              <w:rPr>
                <w:rFonts w:ascii="宋体" w:hAnsi="宋体"/>
                <w:color w:val="auto"/>
              </w:rPr>
            </w:pPr>
          </w:p>
        </w:tc>
      </w:tr>
      <w:tr w14:paraId="7624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6DEF43C8">
            <w:pPr>
              <w:jc w:val="center"/>
              <w:rPr>
                <w:rFonts w:ascii="宋体" w:hAnsi="宋体" w:eastAsia="宋体"/>
                <w:color w:val="auto"/>
                <w:lang w:eastAsia="zh-CN"/>
              </w:rPr>
            </w:pPr>
            <w:r>
              <w:rPr>
                <w:rFonts w:hint="eastAsia" w:ascii="宋体" w:hAnsi="宋体"/>
                <w:color w:val="auto"/>
                <w:lang w:eastAsia="zh-CN"/>
              </w:rPr>
              <w:t>备注</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794A59C1">
            <w:pPr>
              <w:ind w:firstLine="420"/>
              <w:jc w:val="center"/>
              <w:rPr>
                <w:rFonts w:ascii="宋体" w:hAnsi="宋体"/>
                <w:color w:val="auto"/>
              </w:rPr>
            </w:pPr>
          </w:p>
        </w:tc>
      </w:tr>
    </w:tbl>
    <w:p w14:paraId="72E4A381">
      <w:pPr>
        <w:ind w:firstLine="420"/>
        <w:rPr>
          <w:rFonts w:ascii="宋体" w:hAnsi="宋体"/>
          <w:color w:val="auto"/>
        </w:rPr>
      </w:pPr>
    </w:p>
    <w:p w14:paraId="7D7849C4">
      <w:pPr>
        <w:ind w:firstLine="420"/>
        <w:rPr>
          <w:rFonts w:ascii="宋体" w:hAnsi="宋体"/>
          <w:color w:val="auto"/>
        </w:rPr>
      </w:pPr>
    </w:p>
    <w:p w14:paraId="2CE325A0">
      <w:pPr>
        <w:spacing w:line="360" w:lineRule="auto"/>
        <w:ind w:firstLine="420"/>
        <w:jc w:val="right"/>
        <w:rPr>
          <w:rFonts w:ascii="宋体" w:hAnsi="宋体"/>
          <w:color w:val="auto"/>
          <w:lang w:eastAsia="zh-CN"/>
        </w:rPr>
      </w:pPr>
      <w:r>
        <w:rPr>
          <w:rFonts w:hint="eastAsia" w:ascii="宋体" w:hAnsi="宋体"/>
          <w:color w:val="auto"/>
          <w:lang w:eastAsia="zh-CN"/>
        </w:rPr>
        <w:t xml:space="preserve"> 供应商法定代表人或其授权委托人(电子签名或</w:t>
      </w:r>
      <w:r>
        <w:rPr>
          <w:rFonts w:hint="eastAsia" w:ascii="宋体" w:hAnsi="宋体" w:cs="宋体"/>
          <w:color w:val="auto"/>
          <w:lang w:eastAsia="zh-CN"/>
        </w:rPr>
        <w:t>电子签章</w:t>
      </w:r>
      <w:r>
        <w:rPr>
          <w:rFonts w:hint="eastAsia" w:ascii="宋体" w:hAnsi="宋体"/>
          <w:color w:val="auto"/>
          <w:lang w:eastAsia="zh-CN"/>
        </w:rPr>
        <w:t>)</w:t>
      </w:r>
      <w:r>
        <w:rPr>
          <w:rFonts w:hint="eastAsia" w:ascii="宋体" w:hAnsi="宋体"/>
          <w:color w:val="auto"/>
          <w:u w:val="single"/>
          <w:lang w:eastAsia="zh-CN"/>
        </w:rPr>
        <w:t xml:space="preserve">                  </w:t>
      </w:r>
    </w:p>
    <w:p w14:paraId="71244690">
      <w:pPr>
        <w:spacing w:line="360" w:lineRule="auto"/>
        <w:ind w:firstLine="3360" w:firstLineChars="1600"/>
        <w:jc w:val="right"/>
        <w:rPr>
          <w:rFonts w:ascii="宋体" w:hAnsi="宋体"/>
          <w:color w:val="auto"/>
          <w:lang w:eastAsia="zh-CN"/>
        </w:rPr>
      </w:pPr>
      <w:r>
        <w:rPr>
          <w:rFonts w:hint="eastAsia" w:ascii="宋体" w:hAnsi="宋体"/>
          <w:color w:val="auto"/>
          <w:lang w:eastAsia="zh-CN"/>
        </w:rPr>
        <w:t xml:space="preserve">  供应商</w:t>
      </w:r>
      <w:r>
        <w:rPr>
          <w:rFonts w:ascii="宋体" w:hAnsi="宋体"/>
          <w:color w:val="auto"/>
          <w:lang w:eastAsia="zh-CN"/>
        </w:rPr>
        <w:t>(</w:t>
      </w:r>
      <w:r>
        <w:rPr>
          <w:rFonts w:hint="eastAsia" w:ascii="宋体" w:hAnsi="宋体" w:cs="宋体"/>
          <w:color w:val="auto"/>
          <w:lang w:eastAsia="zh-CN"/>
        </w:rPr>
        <w:t>单位电子签章</w:t>
      </w:r>
      <w:r>
        <w:rPr>
          <w:rFonts w:ascii="宋体" w:hAnsi="宋体"/>
          <w:color w:val="auto"/>
          <w:lang w:eastAsia="zh-CN"/>
        </w:rPr>
        <w:t>)</w:t>
      </w:r>
      <w:r>
        <w:rPr>
          <w:rFonts w:hint="eastAsia" w:ascii="宋体" w:hAnsi="宋体"/>
          <w:color w:val="auto"/>
          <w:lang w:eastAsia="zh-CN"/>
        </w:rPr>
        <w:t>：</w:t>
      </w:r>
      <w:r>
        <w:rPr>
          <w:rFonts w:ascii="宋体" w:hAnsi="宋体"/>
          <w:color w:val="auto"/>
          <w:lang w:eastAsia="zh-CN"/>
        </w:rPr>
        <w:tab/>
      </w:r>
      <w:r>
        <w:rPr>
          <w:rFonts w:ascii="宋体" w:hAnsi="宋体"/>
          <w:color w:val="auto"/>
          <w:lang w:eastAsia="zh-CN"/>
        </w:rPr>
        <w:t xml:space="preserve">            </w:t>
      </w:r>
      <w:r>
        <w:rPr>
          <w:rFonts w:hint="eastAsia" w:ascii="宋体" w:hAnsi="宋体"/>
          <w:color w:val="auto"/>
          <w:lang w:eastAsia="zh-CN"/>
        </w:rPr>
        <w:t xml:space="preserve">     </w:t>
      </w:r>
    </w:p>
    <w:p w14:paraId="64BA6A05">
      <w:pPr>
        <w:spacing w:line="360" w:lineRule="auto"/>
        <w:ind w:firstLine="3360" w:firstLineChars="1600"/>
        <w:jc w:val="center"/>
        <w:rPr>
          <w:rFonts w:ascii="宋体" w:hAnsi="宋体" w:cs="宋体"/>
          <w:color w:val="auto"/>
          <w:lang w:eastAsia="zh-CN"/>
        </w:rPr>
      </w:pPr>
      <w:r>
        <w:rPr>
          <w:rFonts w:hint="eastAsia" w:ascii="宋体" w:hAnsi="宋体"/>
          <w:color w:val="auto"/>
          <w:lang w:eastAsia="zh-CN"/>
        </w:rPr>
        <w:t xml:space="preserve">           </w:t>
      </w:r>
      <w:r>
        <w:rPr>
          <w:rFonts w:hint="eastAsia" w:ascii="宋体" w:hAnsi="宋体"/>
          <w:color w:val="auto"/>
        </w:rPr>
        <w:t>年   月   日</w:t>
      </w:r>
    </w:p>
    <w:p w14:paraId="6D867A59">
      <w:pPr>
        <w:ind w:firstLine="422"/>
        <w:jc w:val="center"/>
        <w:rPr>
          <w:rFonts w:ascii="宋体" w:hAnsi="宋体" w:cs="宋体"/>
          <w:b/>
          <w:bCs/>
          <w:color w:val="auto"/>
        </w:rPr>
      </w:pPr>
    </w:p>
    <w:p w14:paraId="485B8D6A">
      <w:pPr>
        <w:ind w:firstLine="422"/>
        <w:jc w:val="center"/>
        <w:rPr>
          <w:rFonts w:ascii="宋体" w:hAnsi="宋体" w:cs="宋体"/>
          <w:b/>
          <w:bCs/>
          <w:color w:val="auto"/>
        </w:rPr>
      </w:pPr>
    </w:p>
    <w:p w14:paraId="2AFDD440">
      <w:pPr>
        <w:ind w:firstLine="422"/>
        <w:jc w:val="center"/>
        <w:rPr>
          <w:rFonts w:ascii="宋体" w:hAnsi="宋体" w:cs="宋体"/>
          <w:b/>
          <w:bCs/>
          <w:color w:val="auto"/>
        </w:rPr>
      </w:pPr>
    </w:p>
    <w:p w14:paraId="639FF637">
      <w:pPr>
        <w:pStyle w:val="2"/>
        <w:ind w:firstLine="211"/>
        <w:rPr>
          <w:rFonts w:ascii="宋体" w:hAnsi="宋体" w:cs="宋体"/>
          <w:b/>
          <w:bCs/>
          <w:color w:val="auto"/>
        </w:rPr>
      </w:pPr>
    </w:p>
    <w:p w14:paraId="50E3BBC7">
      <w:pPr>
        <w:pStyle w:val="23"/>
        <w:tabs>
          <w:tab w:val="left" w:pos="945"/>
          <w:tab w:val="left" w:pos="1155"/>
        </w:tabs>
        <w:ind w:firstLine="422"/>
        <w:rPr>
          <w:rFonts w:ascii="宋体" w:hAnsi="宋体" w:cs="宋体"/>
          <w:b/>
          <w:bCs/>
          <w:color w:val="auto"/>
        </w:rPr>
      </w:pPr>
    </w:p>
    <w:p w14:paraId="6EC2C41D">
      <w:pPr>
        <w:ind w:firstLine="422"/>
        <w:rPr>
          <w:rFonts w:ascii="宋体" w:hAnsi="宋体" w:cs="宋体"/>
          <w:b/>
          <w:bCs/>
          <w:color w:val="auto"/>
        </w:rPr>
      </w:pPr>
    </w:p>
    <w:p w14:paraId="05B3C6E3">
      <w:pPr>
        <w:pStyle w:val="2"/>
        <w:ind w:firstLine="211"/>
        <w:rPr>
          <w:rFonts w:ascii="宋体" w:hAnsi="宋体" w:cs="宋体"/>
          <w:b/>
          <w:bCs/>
          <w:color w:val="auto"/>
        </w:rPr>
      </w:pPr>
    </w:p>
    <w:p w14:paraId="622B7D8C">
      <w:pPr>
        <w:pStyle w:val="23"/>
        <w:tabs>
          <w:tab w:val="left" w:pos="945"/>
          <w:tab w:val="left" w:pos="1155"/>
        </w:tabs>
        <w:ind w:firstLine="422"/>
        <w:rPr>
          <w:rFonts w:ascii="宋体" w:hAnsi="宋体" w:cs="宋体"/>
          <w:b/>
          <w:bCs/>
          <w:color w:val="auto"/>
        </w:rPr>
      </w:pPr>
    </w:p>
    <w:p w14:paraId="597B1EAC">
      <w:pPr>
        <w:ind w:firstLine="422"/>
        <w:rPr>
          <w:rFonts w:ascii="宋体" w:hAnsi="宋体" w:cs="宋体"/>
          <w:b/>
          <w:bCs/>
          <w:color w:val="auto"/>
        </w:rPr>
      </w:pPr>
    </w:p>
    <w:p w14:paraId="6C9D74A7">
      <w:pPr>
        <w:pStyle w:val="2"/>
        <w:ind w:firstLine="211"/>
        <w:rPr>
          <w:rFonts w:ascii="宋体" w:hAnsi="宋体" w:cs="宋体"/>
          <w:b/>
          <w:bCs/>
          <w:color w:val="auto"/>
        </w:rPr>
      </w:pPr>
    </w:p>
    <w:p w14:paraId="6112F3DC">
      <w:pPr>
        <w:pStyle w:val="23"/>
        <w:tabs>
          <w:tab w:val="left" w:pos="945"/>
          <w:tab w:val="left" w:pos="1155"/>
        </w:tabs>
        <w:ind w:firstLine="422"/>
        <w:rPr>
          <w:rFonts w:ascii="宋体" w:hAnsi="宋体" w:cs="宋体"/>
          <w:b/>
          <w:bCs/>
          <w:color w:val="auto"/>
        </w:rPr>
      </w:pPr>
    </w:p>
    <w:p w14:paraId="504D473D">
      <w:pPr>
        <w:ind w:firstLine="422"/>
        <w:rPr>
          <w:rFonts w:ascii="宋体" w:hAnsi="宋体" w:cs="宋体"/>
          <w:b/>
          <w:bCs/>
          <w:color w:val="auto"/>
        </w:rPr>
      </w:pPr>
    </w:p>
    <w:p w14:paraId="3171DF36">
      <w:pPr>
        <w:pStyle w:val="23"/>
        <w:tabs>
          <w:tab w:val="left" w:pos="945"/>
          <w:tab w:val="left" w:pos="1155"/>
        </w:tabs>
        <w:ind w:left="0" w:leftChars="0" w:firstLine="0" w:firstLineChars="0"/>
        <w:rPr>
          <w:rFonts w:ascii="宋体" w:hAnsi="宋体" w:cs="宋体"/>
          <w:b/>
          <w:bCs/>
          <w:color w:val="auto"/>
        </w:rPr>
      </w:pPr>
    </w:p>
    <w:sectPr>
      <w:pgSz w:w="11900" w:h="16840"/>
      <w:pgMar w:top="1350" w:right="1785" w:bottom="0" w:left="1785"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7A"/>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B376">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47673C4">
                          <w:pPr>
                            <w:pStyle w:val="15"/>
                          </w:pP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y2FecBAADHAwAADgAAAGRycy9lMm9Eb2MueG1srVPBjtMwEL0j8Q+W&#10;7zTZrBa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K0osNzjw088fp19/Tr+/&#10;k8s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S/LYV5wEAAMcD&#10;AAAOAAAAAAAAAAEAIAAAAB4BAABkcnMvZTJvRG9jLnhtbFBLBQYAAAAABgAGAFkBAAB3BQAAAAA=&#10;">
              <v:fill on="f" focussize="0,0"/>
              <v:stroke on="f"/>
              <v:imagedata o:title=""/>
              <o:lock v:ext="edit" aspectratio="f"/>
              <v:textbox inset="0mm,0mm,0mm,0mm" style="mso-fit-shape-to-text:t;">
                <w:txbxContent>
                  <w:p w14:paraId="747673C4">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334ED">
    <w:pPr>
      <w:spacing w:before="72" w:line="177" w:lineRule="auto"/>
      <w:ind w:left="4817"/>
      <w:rPr>
        <w:rFonts w:ascii="Times New Roman" w:hAnsi="Times New Roman" w:eastAsia="Times New Roman" w:cs="Times New Roman"/>
        <w:sz w:val="18"/>
        <w:szCs w:val="18"/>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765039">
                          <w:pPr>
                            <w:pStyle w:val="15"/>
                          </w:pPr>
                          <w:r>
                            <w:fldChar w:fldCharType="begin"/>
                          </w:r>
                          <w:r>
                            <w:instrText xml:space="preserve"> PAGE  \* MERGEFORMAT </w:instrText>
                          </w:r>
                          <w:r>
                            <w:fldChar w:fldCharType="separate"/>
                          </w:r>
                          <w:r>
                            <w:t>7</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QPJE3PAQAAmw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ZvOXPC0oNffv64/Ppz+f2d&#10;vU729AErOnUf7mDKkMKkdWjBpi+pYEO29Hy1VA2RSdpcrlfrdUluS6rNCeEUD9cDYHyvvGUpqDnQ&#10;m2UrxekjxvHofCR1My6tzt9qY8Zq2ikSzZFYiuKwHya2e9+cSSJNPIF3Hr5x1tN719zReHNmPjiy&#10;M43GHMAc7OdAOEkXax45OwbQhy6PUaKB4d0xEpXMMzUeu0186M2y0mm+0lA8zvOph39q+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RA8kTc8BAACbAwAADgAAAAAAAAABACAAAAAfAQAAZHJz&#10;L2Uyb0RvYy54bWxQSwUGAAAAAAYABgBZAQAAYAUAAAAA&#10;">
              <v:fill on="f" focussize="0,0"/>
              <v:stroke on="f"/>
              <v:imagedata o:title=""/>
              <o:lock v:ext="edit" aspectratio="f"/>
              <v:textbox inset="0mm,0mm,0mm,0mm" style="mso-fit-shape-to-text:t;">
                <w:txbxContent>
                  <w:p w14:paraId="21765039">
                    <w:pPr>
                      <w:pStyle w:val="15"/>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FFA5">
    <w:pPr>
      <w:spacing w:before="72" w:line="177" w:lineRule="auto"/>
      <w:ind w:left="4817"/>
      <w:rPr>
        <w:rFonts w:ascii="Times New Roman" w:hAnsi="Times New Roman" w:eastAsia="Times New Roman" w:cs="Times New Roman"/>
        <w:sz w:val="18"/>
        <w:szCs w:val="18"/>
      </w:rPr>
    </w:pPr>
    <w:r>
      <w:rPr>
        <w:sz w:val="18"/>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D8597F">
                          <w:pPr>
                            <w:pStyle w:val="15"/>
                          </w:pPr>
                          <w:r>
                            <w:fldChar w:fldCharType="begin"/>
                          </w:r>
                          <w:r>
                            <w:instrText xml:space="preserve"> PAGE  \* MERGEFORMAT </w:instrText>
                          </w:r>
                          <w:r>
                            <w:fldChar w:fldCharType="separate"/>
                          </w:r>
                          <w:r>
                            <w:t>7</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URK6nQAQAAngMAAA4AAABkcnMvZTJvRG9jLnhtbK1TzYrbMBC+F/oO&#10;QvfGTlh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WZZkihOW3vzy88fl15/L&#10;7+/sJjnUB6zo4EO4hylDCpPcoQWbviSEDdnV89VVNUQmaXO5Xq3XCVtSbU4Ip3i8HgDje+UtS0HN&#10;gZ4tuylOHzGOR+cjqZtxaXX+ThszVtNOkWiOxFIUh/0wsd375kwqaegJvPPwjbOenrzmjiacM/PB&#10;kaNpOuYA5mA/B8JJuljzyNkxgD50eZISDQzvjpGoZJ6p8dht4kPPlpVOI5bm4mmeTz3+V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MURK6nQAQAAngMAAA4AAAAAAAAAAQAgAAAAHwEAAGRy&#10;cy9lMm9Eb2MueG1sUEsFBgAAAAAGAAYAWQEAAGEFAAAAAA==&#10;">
              <v:fill on="f" focussize="0,0"/>
              <v:stroke on="f"/>
              <v:imagedata o:title=""/>
              <o:lock v:ext="edit" aspectratio="f"/>
              <v:textbox inset="0mm,0mm,0mm,0mm" style="mso-fit-shape-to-text:t;">
                <w:txbxContent>
                  <w:p w14:paraId="3CD8597F">
                    <w:pPr>
                      <w:pStyle w:val="15"/>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BF98">
    <w:pPr>
      <w:spacing w:line="169" w:lineRule="auto"/>
      <w:ind w:left="432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21B6DE5">
                          <w:pPr>
                            <w:pStyle w:val="15"/>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S1BucBAADHAwAADgAAAGRycy9lMm9Eb2MueG1srVNLbtswEN0X6B0I&#10;7mspRl2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XVBiucGBn37/Ov35d/r7&#10;k7xN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lNLUG5wEAAMcD&#10;AAAOAAAAAAAAAAEAIAAAAB4BAABkcnMvZTJvRG9jLnhtbFBLBQYAAAAABgAGAFkBAAB3BQAAAAA=&#10;">
              <v:fill on="f" focussize="0,0"/>
              <v:stroke on="f"/>
              <v:imagedata o:title=""/>
              <o:lock v:ext="edit" aspectratio="f"/>
              <v:textbox inset="0mm,0mm,0mm,0mm" style="mso-fit-shape-to-text:t;">
                <w:txbxContent>
                  <w:p w14:paraId="621B6DE5">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C88D1">
    <w:pPr>
      <w:spacing w:line="169" w:lineRule="auto"/>
      <w:ind w:left="4328"/>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424EF98">
                          <w:pPr>
                            <w:pStyle w:val="15"/>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EkNyy5wEAAMcD&#10;AAAOAAAAAAAAAAEAIAAAAB4BAABkcnMvZTJvRG9jLnhtbFBLBQYAAAAABgAGAFkBAAB3BQAAAAA=&#10;">
              <v:fill on="f" focussize="0,0"/>
              <v:stroke on="f"/>
              <v:imagedata o:title=""/>
              <o:lock v:ext="edit" aspectratio="f"/>
              <v:textbox inset="0mm,0mm,0mm,0mm" style="mso-fit-shape-to-text:t;">
                <w:txbxContent>
                  <w:p w14:paraId="2424EF98">
                    <w:pPr>
                      <w:pStyle w:val="15"/>
                    </w:pPr>
                    <w:r>
                      <w:fldChar w:fldCharType="begin"/>
                    </w:r>
                    <w:r>
                      <w:instrText xml:space="preserve"> PAGE  \* MERGEFORMAT </w:instrText>
                    </w:r>
                    <w:r>
                      <w:fldChar w:fldCharType="separate"/>
                    </w:r>
                    <w:r>
                      <w:t>28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15E99F">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4615E99F">
                    <w:pPr>
                      <w:pStyle w:val="15"/>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047B0">
    <w:pPr>
      <w:spacing w:line="169" w:lineRule="auto"/>
      <w:ind w:left="431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2BBA5B7">
                          <w:pPr>
                            <w:pStyle w:val="15"/>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xsE+A5wEAAMcD&#10;AAAOAAAAAAAAAAEAIAAAAB4BAABkcnMvZTJvRG9jLnhtbFBLBQYAAAAABgAGAFkBAAB3BQAAAAA=&#10;">
              <v:fill on="f" focussize="0,0"/>
              <v:stroke on="f"/>
              <v:imagedata o:title=""/>
              <o:lock v:ext="edit" aspectratio="f"/>
              <v:textbox inset="0mm,0mm,0mm,0mm" style="mso-fit-shape-to-text:t;">
                <w:txbxContent>
                  <w:p w14:paraId="42BBA5B7">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D00FA">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EF5A3CB">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lJz2vmAQAAxwMA&#10;AA4AAAAAAAAAAQAgAAAAHgEAAGRycy9lMm9Eb2MueG1sUEsFBgAAAAAGAAYAWQEAAHYFAAAAAA==&#10;">
              <v:fill on="f" focussize="0,0"/>
              <v:stroke on="f"/>
              <v:imagedata o:title=""/>
              <o:lock v:ext="edit" aspectratio="f"/>
              <v:textbox inset="0mm,0mm,0mm,0mm" style="mso-fit-shape-to-text:t;">
                <w:txbxContent>
                  <w:p w14:paraId="1EF5A3CB">
                    <w:pPr>
                      <w:pStyle w:val="1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8E83CC">
                          <w:pPr>
                            <w:pStyle w:val="1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F8E83CC">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4919C">
    <w:pPr>
      <w:pStyle w:val="16"/>
      <w:jc w:val="left"/>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B6F0">
    <w:pPr>
      <w:tabs>
        <w:tab w:val="left" w:pos="1440"/>
      </w:tabs>
      <w:spacing w:before="18" w:line="181" w:lineRule="auto"/>
      <w:ind w:left="480"/>
      <w:rPr>
        <w:rFonts w:ascii="仿宋" w:hAnsi="仿宋" w:eastAsia="仿宋" w:cs="仿宋"/>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A997">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32D83"/>
    <w:multiLevelType w:val="singleLevel"/>
    <w:tmpl w:val="F6732D83"/>
    <w:lvl w:ilvl="0" w:tentative="0">
      <w:start w:val="1"/>
      <w:numFmt w:val="decimal"/>
      <w:suff w:val="space"/>
      <w:lvlText w:val="%1."/>
      <w:lvlJc w:val="left"/>
    </w:lvl>
  </w:abstractNum>
  <w:abstractNum w:abstractNumId="1">
    <w:nsid w:val="59282788"/>
    <w:multiLevelType w:val="singleLevel"/>
    <w:tmpl w:val="59282788"/>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A6"/>
    <w:rsid w:val="00062BF6"/>
    <w:rsid w:val="000C1260"/>
    <w:rsid w:val="001A047E"/>
    <w:rsid w:val="002C3494"/>
    <w:rsid w:val="0037029D"/>
    <w:rsid w:val="003766DE"/>
    <w:rsid w:val="0042540F"/>
    <w:rsid w:val="00516A6A"/>
    <w:rsid w:val="005668EE"/>
    <w:rsid w:val="005712A7"/>
    <w:rsid w:val="005B7627"/>
    <w:rsid w:val="005F75C4"/>
    <w:rsid w:val="0060717E"/>
    <w:rsid w:val="006619AA"/>
    <w:rsid w:val="006C5CA6"/>
    <w:rsid w:val="0071466C"/>
    <w:rsid w:val="0076128F"/>
    <w:rsid w:val="00821951"/>
    <w:rsid w:val="00880433"/>
    <w:rsid w:val="008B0F5A"/>
    <w:rsid w:val="008C411A"/>
    <w:rsid w:val="00A02770"/>
    <w:rsid w:val="00A50AD2"/>
    <w:rsid w:val="00A56D22"/>
    <w:rsid w:val="00AC4AC8"/>
    <w:rsid w:val="00B006B9"/>
    <w:rsid w:val="00CE112E"/>
    <w:rsid w:val="00CE1408"/>
    <w:rsid w:val="00D608BB"/>
    <w:rsid w:val="00DD4DF3"/>
    <w:rsid w:val="00E84814"/>
    <w:rsid w:val="00EF68D9"/>
    <w:rsid w:val="00F10421"/>
    <w:rsid w:val="00F111AE"/>
    <w:rsid w:val="00F305E1"/>
    <w:rsid w:val="00F86148"/>
    <w:rsid w:val="00FB4594"/>
    <w:rsid w:val="019329D2"/>
    <w:rsid w:val="01B25216"/>
    <w:rsid w:val="01FB12E1"/>
    <w:rsid w:val="02315D47"/>
    <w:rsid w:val="025F51AA"/>
    <w:rsid w:val="0265537F"/>
    <w:rsid w:val="029C0574"/>
    <w:rsid w:val="02FA082F"/>
    <w:rsid w:val="03D270B5"/>
    <w:rsid w:val="06C63DFD"/>
    <w:rsid w:val="071B64C1"/>
    <w:rsid w:val="07CD4764"/>
    <w:rsid w:val="094371EF"/>
    <w:rsid w:val="0A081A83"/>
    <w:rsid w:val="0A8266DE"/>
    <w:rsid w:val="0BCB5921"/>
    <w:rsid w:val="0BFC4523"/>
    <w:rsid w:val="0C8C5494"/>
    <w:rsid w:val="0D2C2E3D"/>
    <w:rsid w:val="0D3761E1"/>
    <w:rsid w:val="0D9F26FE"/>
    <w:rsid w:val="0E1965E0"/>
    <w:rsid w:val="0E2944D7"/>
    <w:rsid w:val="0E3E3CC5"/>
    <w:rsid w:val="0F676AA3"/>
    <w:rsid w:val="0FC73DD0"/>
    <w:rsid w:val="10C3255D"/>
    <w:rsid w:val="124036BE"/>
    <w:rsid w:val="12687563"/>
    <w:rsid w:val="127012E3"/>
    <w:rsid w:val="12870BAE"/>
    <w:rsid w:val="13BC5DB8"/>
    <w:rsid w:val="144250B2"/>
    <w:rsid w:val="15A5033F"/>
    <w:rsid w:val="15E72E94"/>
    <w:rsid w:val="16403EF0"/>
    <w:rsid w:val="16B262FE"/>
    <w:rsid w:val="173F2DD7"/>
    <w:rsid w:val="17600C81"/>
    <w:rsid w:val="17CC0594"/>
    <w:rsid w:val="180F393F"/>
    <w:rsid w:val="1A395FBE"/>
    <w:rsid w:val="1B2F599A"/>
    <w:rsid w:val="1BA13B63"/>
    <w:rsid w:val="1C5A0BF0"/>
    <w:rsid w:val="1C986C96"/>
    <w:rsid w:val="1D30218A"/>
    <w:rsid w:val="1D385D84"/>
    <w:rsid w:val="1D4E5A27"/>
    <w:rsid w:val="1E1E3095"/>
    <w:rsid w:val="1EC2350C"/>
    <w:rsid w:val="200E50DC"/>
    <w:rsid w:val="20607ACB"/>
    <w:rsid w:val="2063142A"/>
    <w:rsid w:val="20DC7264"/>
    <w:rsid w:val="21F030D1"/>
    <w:rsid w:val="238216FA"/>
    <w:rsid w:val="23D26F32"/>
    <w:rsid w:val="24030E99"/>
    <w:rsid w:val="24C76AF4"/>
    <w:rsid w:val="250B1B77"/>
    <w:rsid w:val="255107FC"/>
    <w:rsid w:val="28C033E3"/>
    <w:rsid w:val="29483E03"/>
    <w:rsid w:val="29BD7D3C"/>
    <w:rsid w:val="2A495A74"/>
    <w:rsid w:val="2B54481D"/>
    <w:rsid w:val="2CD45AC9"/>
    <w:rsid w:val="2CFA40A3"/>
    <w:rsid w:val="2D1E4F96"/>
    <w:rsid w:val="2D717998"/>
    <w:rsid w:val="2F3C7955"/>
    <w:rsid w:val="2FD129FD"/>
    <w:rsid w:val="30907F59"/>
    <w:rsid w:val="30FF0C3A"/>
    <w:rsid w:val="317923C7"/>
    <w:rsid w:val="31E07844"/>
    <w:rsid w:val="322E5C7B"/>
    <w:rsid w:val="327F4DBE"/>
    <w:rsid w:val="33056A0E"/>
    <w:rsid w:val="33613E2E"/>
    <w:rsid w:val="33864DAA"/>
    <w:rsid w:val="348C566B"/>
    <w:rsid w:val="34D16D92"/>
    <w:rsid w:val="35A27F55"/>
    <w:rsid w:val="36C959D3"/>
    <w:rsid w:val="37A8687B"/>
    <w:rsid w:val="37C93D50"/>
    <w:rsid w:val="38BB027E"/>
    <w:rsid w:val="391018F3"/>
    <w:rsid w:val="39AD696B"/>
    <w:rsid w:val="3AAE0581"/>
    <w:rsid w:val="3CEA63B8"/>
    <w:rsid w:val="3D89645B"/>
    <w:rsid w:val="3DA731A6"/>
    <w:rsid w:val="3E4531BA"/>
    <w:rsid w:val="3EAB228D"/>
    <w:rsid w:val="3EFB2C7C"/>
    <w:rsid w:val="3F0C6562"/>
    <w:rsid w:val="3F4D34B9"/>
    <w:rsid w:val="40550B11"/>
    <w:rsid w:val="412F10C8"/>
    <w:rsid w:val="41C47F63"/>
    <w:rsid w:val="4264782F"/>
    <w:rsid w:val="42727846"/>
    <w:rsid w:val="42770F78"/>
    <w:rsid w:val="431840AC"/>
    <w:rsid w:val="436D237B"/>
    <w:rsid w:val="43A36B06"/>
    <w:rsid w:val="4406384C"/>
    <w:rsid w:val="442B6E43"/>
    <w:rsid w:val="44A27E03"/>
    <w:rsid w:val="44D42D6E"/>
    <w:rsid w:val="455B375F"/>
    <w:rsid w:val="45A20B8B"/>
    <w:rsid w:val="472A1618"/>
    <w:rsid w:val="479B690B"/>
    <w:rsid w:val="47ED3A8B"/>
    <w:rsid w:val="48792A01"/>
    <w:rsid w:val="488241D3"/>
    <w:rsid w:val="48AA3158"/>
    <w:rsid w:val="49A5461D"/>
    <w:rsid w:val="4A2113C5"/>
    <w:rsid w:val="4D580A9E"/>
    <w:rsid w:val="4DB647AF"/>
    <w:rsid w:val="4E011E5A"/>
    <w:rsid w:val="4E087C42"/>
    <w:rsid w:val="4EA76741"/>
    <w:rsid w:val="4EF21A9A"/>
    <w:rsid w:val="4EF24D42"/>
    <w:rsid w:val="4F021BCA"/>
    <w:rsid w:val="4F272C6E"/>
    <w:rsid w:val="4F2B3A73"/>
    <w:rsid w:val="4F444B51"/>
    <w:rsid w:val="4FDD720B"/>
    <w:rsid w:val="50CA6347"/>
    <w:rsid w:val="510F4A72"/>
    <w:rsid w:val="518C2131"/>
    <w:rsid w:val="51B318A1"/>
    <w:rsid w:val="51DF2E16"/>
    <w:rsid w:val="52210B4A"/>
    <w:rsid w:val="527032EE"/>
    <w:rsid w:val="52804889"/>
    <w:rsid w:val="529B480F"/>
    <w:rsid w:val="53933738"/>
    <w:rsid w:val="54105DF7"/>
    <w:rsid w:val="54613DA6"/>
    <w:rsid w:val="577E726B"/>
    <w:rsid w:val="57C230F2"/>
    <w:rsid w:val="585F7968"/>
    <w:rsid w:val="592F5CB1"/>
    <w:rsid w:val="59CF169E"/>
    <w:rsid w:val="59EC3BA2"/>
    <w:rsid w:val="5ADE798F"/>
    <w:rsid w:val="5C880F1C"/>
    <w:rsid w:val="5C980519"/>
    <w:rsid w:val="5CB73052"/>
    <w:rsid w:val="5D316D2B"/>
    <w:rsid w:val="5D443CF5"/>
    <w:rsid w:val="5E236AE8"/>
    <w:rsid w:val="5FB92779"/>
    <w:rsid w:val="605424A1"/>
    <w:rsid w:val="609F196E"/>
    <w:rsid w:val="60CB71F9"/>
    <w:rsid w:val="60EC0766"/>
    <w:rsid w:val="61C86B4F"/>
    <w:rsid w:val="624E3350"/>
    <w:rsid w:val="62E26E58"/>
    <w:rsid w:val="635822A8"/>
    <w:rsid w:val="65546A82"/>
    <w:rsid w:val="65E322FD"/>
    <w:rsid w:val="66670C8A"/>
    <w:rsid w:val="670D074B"/>
    <w:rsid w:val="670E33AA"/>
    <w:rsid w:val="67632C8A"/>
    <w:rsid w:val="67751EFD"/>
    <w:rsid w:val="67A755AC"/>
    <w:rsid w:val="682E35D8"/>
    <w:rsid w:val="683101B8"/>
    <w:rsid w:val="687A0412"/>
    <w:rsid w:val="691E2F08"/>
    <w:rsid w:val="6B225676"/>
    <w:rsid w:val="6B3C7DBA"/>
    <w:rsid w:val="6B67287A"/>
    <w:rsid w:val="6B9D6CD1"/>
    <w:rsid w:val="6BE52AD5"/>
    <w:rsid w:val="6D457993"/>
    <w:rsid w:val="6D6316BC"/>
    <w:rsid w:val="6D91688C"/>
    <w:rsid w:val="6DE470C3"/>
    <w:rsid w:val="6E413771"/>
    <w:rsid w:val="6EEB7E63"/>
    <w:rsid w:val="6FFE19B1"/>
    <w:rsid w:val="70B2333D"/>
    <w:rsid w:val="7145658E"/>
    <w:rsid w:val="71EB2AA5"/>
    <w:rsid w:val="724813A4"/>
    <w:rsid w:val="73A55C63"/>
    <w:rsid w:val="752E7064"/>
    <w:rsid w:val="76637392"/>
    <w:rsid w:val="78324A1E"/>
    <w:rsid w:val="788259A6"/>
    <w:rsid w:val="797177C8"/>
    <w:rsid w:val="79B05998"/>
    <w:rsid w:val="7B4909FD"/>
    <w:rsid w:val="7B6018A2"/>
    <w:rsid w:val="7C016563"/>
    <w:rsid w:val="7C9C2DAE"/>
    <w:rsid w:val="7CCC3693"/>
    <w:rsid w:val="7F8C79A7"/>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link w:val="29"/>
    <w:qFormat/>
    <w:uiPriority w:val="0"/>
    <w:pPr>
      <w:keepNext/>
      <w:jc w:val="center"/>
      <w:outlineLvl w:val="0"/>
    </w:pPr>
    <w:rPr>
      <w:b/>
      <w:bCs/>
      <w:sz w:val="32"/>
    </w:rPr>
  </w:style>
  <w:style w:type="paragraph" w:styleId="6">
    <w:name w:val="heading 2"/>
    <w:basedOn w:val="1"/>
    <w:next w:val="1"/>
    <w:link w:val="39"/>
    <w:qFormat/>
    <w:uiPriority w:val="0"/>
    <w:pPr>
      <w:keepNext/>
      <w:keepLines/>
      <w:spacing w:line="460" w:lineRule="exact"/>
      <w:outlineLvl w:val="1"/>
    </w:pPr>
    <w:rPr>
      <w:rFonts w:ascii="宋体" w:hAnsi="宋体"/>
      <w:b/>
      <w:sz w:val="30"/>
      <w:szCs w:val="30"/>
    </w:rPr>
  </w:style>
  <w:style w:type="paragraph" w:styleId="7">
    <w:name w:val="heading 3"/>
    <w:basedOn w:val="1"/>
    <w:next w:val="1"/>
    <w:qFormat/>
    <w:uiPriority w:val="0"/>
    <w:pPr>
      <w:keepNext/>
      <w:keepLines/>
      <w:spacing w:line="460" w:lineRule="exact"/>
      <w:outlineLvl w:val="2"/>
    </w:pPr>
    <w:rPr>
      <w:b/>
      <w:sz w:val="24"/>
    </w:rPr>
  </w:style>
  <w:style w:type="paragraph" w:styleId="8">
    <w:name w:val="heading 4"/>
    <w:basedOn w:val="1"/>
    <w:next w:val="1"/>
    <w:qFormat/>
    <w:uiPriority w:val="1"/>
    <w:pPr>
      <w:spacing w:before="1"/>
      <w:outlineLvl w:val="3"/>
    </w:pPr>
    <w:rPr>
      <w:b/>
      <w:bCs/>
      <w:sz w:val="28"/>
      <w:szCs w:val="28"/>
      <w:u w:val="single" w:color="00000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semiHidden/>
    <w:qFormat/>
    <w:uiPriority w:val="0"/>
  </w:style>
  <w:style w:type="paragraph" w:styleId="4">
    <w:name w:val="Body Text 2"/>
    <w:basedOn w:val="1"/>
    <w:next w:val="3"/>
    <w:qFormat/>
    <w:uiPriority w:val="0"/>
    <w:pPr>
      <w:spacing w:after="120" w:line="480" w:lineRule="auto"/>
    </w:pPr>
  </w:style>
  <w:style w:type="paragraph" w:styleId="9">
    <w:name w:val="annotation text"/>
    <w:basedOn w:val="1"/>
    <w:qFormat/>
    <w:uiPriority w:val="99"/>
  </w:style>
  <w:style w:type="paragraph" w:styleId="10">
    <w:name w:val="Body Text 3"/>
    <w:basedOn w:val="1"/>
    <w:qFormat/>
    <w:uiPriority w:val="0"/>
    <w:rPr>
      <w:rFonts w:hAnsi="Times New Roman"/>
      <w:sz w:val="24"/>
      <w:szCs w:val="20"/>
    </w:rPr>
  </w:style>
  <w:style w:type="paragraph" w:styleId="11">
    <w:name w:val="Body Text Indent"/>
    <w:basedOn w:val="1"/>
    <w:qFormat/>
    <w:uiPriority w:val="0"/>
    <w:pPr>
      <w:spacing w:line="312" w:lineRule="auto"/>
      <w:ind w:firstLine="735" w:firstLineChars="245"/>
    </w:pPr>
  </w:style>
  <w:style w:type="paragraph" w:styleId="12">
    <w:name w:val="List 2"/>
    <w:basedOn w:val="1"/>
    <w:qFormat/>
    <w:uiPriority w:val="0"/>
    <w:pPr>
      <w:ind w:left="100" w:leftChars="200" w:hanging="200" w:hangingChars="200"/>
    </w:pPr>
    <w:rPr>
      <w:szCs w:val="24"/>
    </w:rPr>
  </w:style>
  <w:style w:type="paragraph" w:styleId="13">
    <w:name w:val="Plain Text"/>
    <w:basedOn w:val="1"/>
    <w:next w:val="3"/>
    <w:qFormat/>
    <w:uiPriority w:val="0"/>
    <w:rPr>
      <w:rFonts w:ascii="宋体" w:hAnsi="Courier New"/>
      <w:szCs w:val="20"/>
    </w:rPr>
  </w:style>
  <w:style w:type="paragraph" w:styleId="14">
    <w:name w:val="Body Text Indent 2"/>
    <w:basedOn w:val="1"/>
    <w:qFormat/>
    <w:uiPriority w:val="0"/>
    <w:pPr>
      <w:spacing w:after="120" w:line="480" w:lineRule="auto"/>
      <w:ind w:left="420" w:leftChars="200"/>
    </w:pPr>
  </w:style>
  <w:style w:type="paragraph" w:styleId="15">
    <w:name w:val="footer"/>
    <w:basedOn w:val="1"/>
    <w:unhideWhenUsed/>
    <w:qFormat/>
    <w:uiPriority w:val="99"/>
    <w:pPr>
      <w:tabs>
        <w:tab w:val="center" w:pos="4153"/>
        <w:tab w:val="right" w:pos="8306"/>
      </w:tabs>
      <w:spacing w:line="240" w:lineRule="atLeas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7">
    <w:name w:val="Signature"/>
    <w:basedOn w:val="1"/>
    <w:qFormat/>
    <w:uiPriority w:val="0"/>
    <w:pPr>
      <w:ind w:left="2100" w:leftChars="2100"/>
    </w:pPr>
  </w:style>
  <w:style w:type="paragraph" w:styleId="18">
    <w:name w:val="toc 1"/>
    <w:basedOn w:val="1"/>
    <w:next w:val="1"/>
    <w:qFormat/>
    <w:uiPriority w:val="39"/>
  </w:style>
  <w:style w:type="paragraph" w:styleId="19">
    <w:name w:val="footnote text"/>
    <w:basedOn w:val="1"/>
    <w:qFormat/>
    <w:uiPriority w:val="0"/>
    <w:rPr>
      <w:sz w:val="18"/>
      <w:szCs w:val="18"/>
    </w:rPr>
  </w:style>
  <w:style w:type="paragraph" w:styleId="20">
    <w:name w:val="table of figures"/>
    <w:basedOn w:val="1"/>
    <w:next w:val="1"/>
    <w:qFormat/>
    <w:uiPriority w:val="0"/>
    <w:pPr>
      <w:widowControl w:val="0"/>
      <w:spacing w:line="360" w:lineRule="auto"/>
      <w:ind w:left="840" w:leftChars="200" w:hanging="420" w:hangingChars="200"/>
      <w:jc w:val="both"/>
    </w:pPr>
    <w:rPr>
      <w:rFonts w:ascii="Arial" w:hAnsi="Arial" w:eastAsia="宋体" w:cs="宋体"/>
      <w:kern w:val="2"/>
      <w:szCs w:val="20"/>
      <w:lang w:eastAsia="zh-CN" w:bidi="ar-SA"/>
    </w:rPr>
  </w:style>
  <w:style w:type="paragraph" w:styleId="21">
    <w:name w:val="toc 2"/>
    <w:basedOn w:val="1"/>
    <w:next w:val="1"/>
    <w:qFormat/>
    <w:uiPriority w:val="39"/>
    <w:pPr>
      <w:spacing w:line="276" w:lineRule="auto"/>
      <w:ind w:left="220"/>
    </w:pPr>
    <w:rPr>
      <w:rFonts w:ascii="Calibri" w:hAnsi="Calibri"/>
      <w:sz w:val="22"/>
    </w:rPr>
  </w:style>
  <w:style w:type="paragraph" w:styleId="22">
    <w:name w:val="Normal (Web)"/>
    <w:basedOn w:val="1"/>
    <w:qFormat/>
    <w:uiPriority w:val="99"/>
    <w:pPr>
      <w:spacing w:beforeAutospacing="1" w:afterAutospacing="1"/>
    </w:pPr>
    <w:rPr>
      <w:rFonts w:ascii="宋体" w:hAnsi="宋体" w:cs="宋体"/>
      <w:sz w:val="24"/>
      <w:szCs w:val="24"/>
    </w:rPr>
  </w:style>
  <w:style w:type="paragraph" w:styleId="23">
    <w:name w:val="Body Text First Indent 2"/>
    <w:basedOn w:val="11"/>
    <w:next w:val="1"/>
    <w:qFormat/>
    <w:uiPriority w:val="0"/>
    <w:pPr>
      <w:spacing w:line="240" w:lineRule="auto"/>
      <w:ind w:left="420" w:leftChars="200"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Default"/>
    <w:basedOn w:val="13"/>
    <w:next w:val="20"/>
    <w:qFormat/>
    <w:uiPriority w:val="0"/>
    <w:pPr>
      <w:widowControl w:val="0"/>
    </w:pPr>
    <w:rPr>
      <w:rFonts w:cs="宋体"/>
      <w:sz w:val="24"/>
      <w:szCs w:val="24"/>
      <w:lang w:eastAsia="zh-CN"/>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标题 1 Char"/>
    <w:link w:val="5"/>
    <w:qFormat/>
    <w:uiPriority w:val="0"/>
    <w:rPr>
      <w:b/>
      <w:bCs/>
      <w:color w:val="000000"/>
      <w:sz w:val="32"/>
    </w:rPr>
  </w:style>
  <w:style w:type="paragraph" w:customStyle="1" w:styleId="30">
    <w:name w:val="BodyText1I2"/>
    <w:basedOn w:val="31"/>
    <w:next w:val="32"/>
    <w:qFormat/>
    <w:uiPriority w:val="0"/>
    <w:pPr>
      <w:ind w:firstLine="420"/>
    </w:pPr>
    <w:rPr>
      <w:rFonts w:ascii="Calibri" w:hAnsi="Calibri" w:eastAsia="楷体_GB2312"/>
      <w:kern w:val="44"/>
      <w:sz w:val="44"/>
    </w:rPr>
  </w:style>
  <w:style w:type="paragraph" w:customStyle="1" w:styleId="31">
    <w:name w:val="BodyTextIndent"/>
    <w:basedOn w:val="1"/>
    <w:qFormat/>
    <w:uiPriority w:val="0"/>
    <w:pPr>
      <w:spacing w:after="120"/>
      <w:ind w:left="420" w:leftChars="200"/>
    </w:pPr>
    <w:rPr>
      <w:rFonts w:ascii="Times New Roman" w:hAnsi="Times New Roman"/>
      <w:sz w:val="20"/>
    </w:rPr>
  </w:style>
  <w:style w:type="paragraph" w:customStyle="1" w:styleId="32">
    <w:name w:val="UserStyle_136"/>
    <w:basedOn w:val="1"/>
    <w:next w:val="1"/>
    <w:qFormat/>
    <w:uiPriority w:val="0"/>
    <w:pPr>
      <w:spacing w:after="120" w:line="320" w:lineRule="atLeast"/>
    </w:pPr>
  </w:style>
  <w:style w:type="paragraph" w:customStyle="1" w:styleId="33">
    <w:name w:val="样式 标题 2 + Times New Roman 四号 非加粗 段前: 5 磅 段后: 0 磅 行距: 固定值 20..."/>
    <w:basedOn w:val="6"/>
    <w:qFormat/>
    <w:uiPriority w:val="0"/>
    <w:pPr>
      <w:spacing w:line="400" w:lineRule="exact"/>
    </w:pPr>
    <w:rPr>
      <w:rFonts w:ascii="Times New Roman" w:hAnsi="Times New Roman" w:cs="宋体"/>
      <w:b w:val="0"/>
      <w:sz w:val="28"/>
      <w:szCs w:val="20"/>
    </w:rPr>
  </w:style>
  <w:style w:type="paragraph" w:styleId="34">
    <w:name w:val="List Paragraph"/>
    <w:basedOn w:val="1"/>
    <w:qFormat/>
    <w:uiPriority w:val="0"/>
    <w:pPr>
      <w:ind w:firstLine="420"/>
    </w:pPr>
    <w:rPr>
      <w:szCs w:val="24"/>
    </w:rPr>
  </w:style>
  <w:style w:type="paragraph" w:customStyle="1" w:styleId="35">
    <w:name w:val="*正文_1"/>
    <w:basedOn w:val="36"/>
    <w:next w:val="36"/>
    <w:qFormat/>
    <w:uiPriority w:val="0"/>
    <w:pPr>
      <w:widowControl/>
      <w:ind w:firstLine="482"/>
    </w:pPr>
    <w:rPr>
      <w:rFonts w:ascii="微软雅黑" w:hAnsi="微软雅黑" w:eastAsia="微软雅黑"/>
      <w:kern w:val="0"/>
      <w:szCs w:val="20"/>
    </w:rPr>
  </w:style>
  <w:style w:type="paragraph" w:customStyle="1" w:styleId="36">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标题 3 + (中文) 黑体 小四 非加粗 段前: 7.8 磅 段后: 0 磅 行距: 固定值 20 磅"/>
    <w:basedOn w:val="7"/>
    <w:qFormat/>
    <w:uiPriority w:val="0"/>
    <w:pPr>
      <w:spacing w:line="400" w:lineRule="exact"/>
    </w:pPr>
    <w:rPr>
      <w:rFonts w:eastAsia="黑体" w:cs="宋体"/>
      <w:b w:val="0"/>
      <w:szCs w:val="20"/>
    </w:rPr>
  </w:style>
  <w:style w:type="paragraph" w:customStyle="1" w:styleId="38">
    <w:name w:val="Table Text"/>
    <w:basedOn w:val="1"/>
    <w:semiHidden/>
    <w:qFormat/>
    <w:uiPriority w:val="0"/>
    <w:rPr>
      <w:rFonts w:ascii="宋体" w:hAnsi="宋体" w:eastAsia="宋体" w:cs="宋体"/>
      <w:sz w:val="24"/>
      <w:szCs w:val="24"/>
    </w:rPr>
  </w:style>
  <w:style w:type="character" w:customStyle="1" w:styleId="39">
    <w:name w:val="标题 2 Char"/>
    <w:basedOn w:val="26"/>
    <w:link w:val="6"/>
    <w:qFormat/>
    <w:uiPriority w:val="0"/>
    <w:rPr>
      <w:rFonts w:ascii="宋体" w:hAnsi="宋体"/>
      <w:b/>
      <w:sz w:val="30"/>
      <w:szCs w:val="30"/>
    </w:rPr>
  </w:style>
  <w:style w:type="paragraph" w:customStyle="1" w:styleId="40">
    <w:name w:val="Table Paragraph"/>
    <w:basedOn w:val="1"/>
    <w:qFormat/>
    <w:uiPriority w:val="0"/>
    <w:rPr>
      <w:rFonts w:hint="eastAsia" w:ascii="宋体" w:hAnsi="宋体" w:eastAsia="宋体" w:cs="Times New Roman"/>
      <w:sz w:val="22"/>
    </w:rPr>
  </w:style>
  <w:style w:type="paragraph" w:customStyle="1" w:styleId="41">
    <w:name w:val="文档正文"/>
    <w:basedOn w:val="1"/>
    <w:qFormat/>
    <w:uiPriority w:val="0"/>
    <w:pPr>
      <w:spacing w:line="480" w:lineRule="atLeast"/>
      <w:ind w:firstLine="567"/>
    </w:pPr>
    <w:rPr>
      <w:rFonts w:ascii="仿宋_GB2312" w:eastAsia="仿宋_GB2312"/>
      <w:sz w:val="28"/>
    </w:rPr>
  </w:style>
  <w:style w:type="paragraph" w:customStyle="1" w:styleId="42">
    <w:name w:val="无间隔1"/>
    <w:basedOn w:val="1"/>
    <w:qFormat/>
    <w:uiPriority w:val="1"/>
    <w:pPr>
      <w:spacing w:line="400" w:lineRule="exact"/>
    </w:pPr>
  </w:style>
  <w:style w:type="paragraph" w:customStyle="1" w:styleId="43">
    <w:name w:val="正文文本1"/>
    <w:basedOn w:val="1"/>
    <w:qFormat/>
    <w:uiPriority w:val="0"/>
    <w:pPr>
      <w:adjustRightInd/>
      <w:textAlignment w:val="auto"/>
    </w:pPr>
    <w:rPr>
      <w:rFonts w:ascii="宋体" w:hAnsi="宋体" w:eastAsia="宋体" w:cs="Times New Roman"/>
      <w:snapToGrid/>
      <w:sz w:val="20"/>
      <w:szCs w:val="20"/>
    </w:rPr>
  </w:style>
  <w:style w:type="paragraph" w:customStyle="1" w:styleId="4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843245-F55E-47A7-BF40-5DDAEBDF4CF5}">
  <ds:schemaRefs/>
</ds:datastoreItem>
</file>

<file path=docProps/app.xml><?xml version="1.0" encoding="utf-8"?>
<Properties xmlns="http://schemas.openxmlformats.org/officeDocument/2006/extended-properties" xmlns:vt="http://schemas.openxmlformats.org/officeDocument/2006/docPropsVTypes">
  <Template>Normal</Template>
  <Pages>49</Pages>
  <Words>492</Words>
  <Characters>562</Characters>
  <Lines>218</Lines>
  <Paragraphs>61</Paragraphs>
  <TotalTime>16</TotalTime>
  <ScaleCrop>false</ScaleCrop>
  <LinksUpToDate>false</LinksUpToDate>
  <CharactersWithSpaces>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2025-04-09T08:45:00Z</dcterms:created>
  <dc:creator>Administrator</dc:creator>
  <cp:lastModifiedBy>汤猛</cp:lastModifiedBy>
  <cp:lastPrinted>2025-06-17T03:35:00Z</cp:lastPrinted>
  <dcterms:modified xsi:type="dcterms:W3CDTF">2025-07-09T02:20:35Z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2025-04-09T08:45:34Z</vt:filetime>
  </property>
  <property fmtid="{D5CDD505-2E9C-101B-9397-08002B2CF9AE}" pid="4" name="UsrData">
    <vt:lpwstr>67f5c32ddbff1c001f765702wl</vt:lpwstr>
  </property>
  <property fmtid="{D5CDD505-2E9C-101B-9397-08002B2CF9AE}" pid="5" name="KSOTemplateDocerSaveRecord">
    <vt:lpwstr>eyJoZGlkIjoiNjc1MWQyN2M4ZjJkMjk3ZDg4ODA1NzljMjBjN2ExYjUiLCJ1c2VySWQiOiIyNzUyMTEzNTUifQ==</vt:lpwstr>
  </property>
  <property fmtid="{D5CDD505-2E9C-101B-9397-08002B2CF9AE}" pid="6" name="KSOProductBuildVer">
    <vt:lpwstr>2052-12.1.0.21915</vt:lpwstr>
  </property>
  <property fmtid="{D5CDD505-2E9C-101B-9397-08002B2CF9AE}" pid="7" name="ICV">
    <vt:lpwstr>9BDAB2A3D0FA4A1AA0A95D9207107D51_13</vt:lpwstr>
  </property>
</Properties>
</file>